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7758E">
      <w:pPr>
        <w:jc w:val="center"/>
        <w:rPr>
          <w:rFonts w:asciiTheme="minorEastAsia" w:hAnsiTheme="minorEastAsia" w:eastAsiaTheme="minorEastAsia"/>
          <w:b/>
          <w:kern w:val="3"/>
          <w:sz w:val="36"/>
          <w:szCs w:val="36"/>
        </w:rPr>
      </w:pPr>
      <w:r>
        <w:rPr>
          <w:rFonts w:hint="eastAsia" w:ascii="宋体" w:hAnsi="宋体"/>
          <w:b/>
          <w:kern w:val="3"/>
          <w:sz w:val="36"/>
          <w:szCs w:val="36"/>
        </w:rPr>
        <w:t>2024年10月</w:t>
      </w:r>
    </w:p>
    <w:p w14:paraId="1FED5C52">
      <w:pPr>
        <w:jc w:val="center"/>
        <w:rPr>
          <w:rFonts w:ascii="黑体" w:hAnsi="黑体" w:eastAsia="黑体"/>
          <w:bCs/>
          <w:kern w:val="3"/>
          <w:sz w:val="44"/>
          <w:szCs w:val="44"/>
        </w:rPr>
      </w:pPr>
      <w:r>
        <w:rPr>
          <w:rFonts w:hint="eastAsia" w:ascii="宋体" w:hAnsi="宋体"/>
          <w:b/>
          <w:kern w:val="3"/>
          <w:sz w:val="36"/>
          <w:szCs w:val="36"/>
        </w:rPr>
        <w:t>中南林业科技大学高等教育自学考试实践考核</w:t>
      </w:r>
    </w:p>
    <w:p w14:paraId="2D7CC2E6">
      <w:pPr>
        <w:spacing w:line="480" w:lineRule="exact"/>
        <w:jc w:val="center"/>
        <w:rPr>
          <w:rFonts w:ascii="黑体" w:hAnsi="黑体" w:eastAsia="黑体" w:cs="黑体"/>
          <w:bCs/>
          <w:kern w:val="3"/>
          <w:sz w:val="44"/>
          <w:szCs w:val="44"/>
        </w:rPr>
      </w:pPr>
      <w:r>
        <w:rPr>
          <w:rFonts w:hint="eastAsia" w:ascii="黑体" w:hAnsi="黑体" w:eastAsia="黑体" w:cs="黑体"/>
          <w:bCs/>
          <w:kern w:val="3"/>
          <w:sz w:val="44"/>
          <w:szCs w:val="44"/>
        </w:rPr>
        <w:t>桥梁工程(实践)</w:t>
      </w:r>
      <w:bookmarkStart w:id="1" w:name="_GoBack"/>
      <w:bookmarkEnd w:id="1"/>
    </w:p>
    <w:p w14:paraId="308EB9A8">
      <w:pPr>
        <w:spacing w:line="480" w:lineRule="exact"/>
        <w:jc w:val="center"/>
        <w:rPr>
          <w:rFonts w:asciiTheme="minorEastAsia" w:hAnsiTheme="minorEastAsia" w:eastAsiaTheme="minorEastAsia"/>
          <w:kern w:val="3"/>
          <w:sz w:val="28"/>
          <w:szCs w:val="28"/>
        </w:rPr>
      </w:pPr>
      <w:r>
        <w:rPr>
          <w:rFonts w:hint="eastAsia" w:asciiTheme="minorEastAsia" w:hAnsiTheme="minorEastAsia" w:eastAsiaTheme="minorEastAsia"/>
          <w:kern w:val="3"/>
          <w:sz w:val="28"/>
          <w:szCs w:val="28"/>
        </w:rPr>
        <w:t>（代码：0</w:t>
      </w:r>
      <w:r>
        <w:rPr>
          <w:rFonts w:asciiTheme="minorEastAsia" w:hAnsiTheme="minorEastAsia" w:eastAsiaTheme="minorEastAsia"/>
          <w:kern w:val="3"/>
          <w:sz w:val="28"/>
          <w:szCs w:val="28"/>
        </w:rPr>
        <w:t>2410</w:t>
      </w:r>
      <w:r>
        <w:rPr>
          <w:rFonts w:hint="eastAsia" w:asciiTheme="minorEastAsia" w:hAnsiTheme="minorEastAsia" w:eastAsiaTheme="minorEastAsia"/>
          <w:kern w:val="3"/>
          <w:sz w:val="28"/>
          <w:szCs w:val="28"/>
        </w:rPr>
        <w:t>）</w:t>
      </w:r>
    </w:p>
    <w:p w14:paraId="5E5F3C11">
      <w:pPr>
        <w:spacing w:line="480" w:lineRule="exact"/>
        <w:rPr>
          <w:sz w:val="28"/>
          <w:szCs w:val="28"/>
          <w:u w:val="single"/>
        </w:rPr>
      </w:pPr>
      <w:r>
        <w:rPr>
          <w:rFonts w:hint="eastAsia"/>
          <w:sz w:val="28"/>
          <w:szCs w:val="28"/>
        </w:rPr>
        <w:t>考籍号：</w:t>
      </w:r>
      <w:r>
        <w:rPr>
          <w:rFonts w:hint="eastAsia"/>
          <w:sz w:val="28"/>
          <w:szCs w:val="28"/>
          <w:u w:val="single"/>
        </w:rPr>
        <w:t xml:space="preserve">               </w:t>
      </w:r>
      <w:r>
        <w:rPr>
          <w:rFonts w:hint="eastAsia"/>
          <w:sz w:val="28"/>
          <w:szCs w:val="28"/>
        </w:rPr>
        <w:t xml:space="preserve">               姓  名：</w:t>
      </w:r>
      <w:r>
        <w:rPr>
          <w:rFonts w:hint="eastAsia"/>
          <w:sz w:val="28"/>
          <w:szCs w:val="28"/>
          <w:u w:val="single"/>
        </w:rPr>
        <w:t xml:space="preserve">              </w:t>
      </w:r>
    </w:p>
    <w:p w14:paraId="1CFC512C">
      <w:pPr>
        <w:spacing w:line="480" w:lineRule="exact"/>
        <w:rPr>
          <w:sz w:val="28"/>
          <w:szCs w:val="28"/>
          <w:u w:val="single"/>
        </w:rPr>
      </w:pPr>
      <w:r>
        <w:rPr>
          <w:rFonts w:hint="eastAsia"/>
          <w:sz w:val="28"/>
          <w:szCs w:val="28"/>
        </w:rPr>
        <w:t>考场号：</w:t>
      </w:r>
      <w:r>
        <w:rPr>
          <w:rFonts w:hint="eastAsia"/>
          <w:sz w:val="28"/>
          <w:szCs w:val="28"/>
          <w:u w:val="single"/>
        </w:rPr>
        <w:t xml:space="preserve">               </w:t>
      </w:r>
      <w:r>
        <w:rPr>
          <w:rFonts w:hint="eastAsia"/>
          <w:sz w:val="28"/>
          <w:szCs w:val="28"/>
        </w:rPr>
        <w:t xml:space="preserve">               座位号：</w:t>
      </w:r>
      <w:r>
        <w:rPr>
          <w:rFonts w:hint="eastAsia"/>
          <w:sz w:val="28"/>
          <w:szCs w:val="28"/>
          <w:u w:val="single"/>
        </w:rPr>
        <w:t xml:space="preserve">              </w:t>
      </w:r>
    </w:p>
    <w:p w14:paraId="2DC6D17F">
      <w:pPr>
        <w:spacing w:line="480" w:lineRule="exact"/>
        <w:jc w:val="left"/>
        <w:outlineLvl w:val="0"/>
        <w:rPr>
          <w:rFonts w:ascii="宋体" w:hAnsi="宋体"/>
          <w:sz w:val="28"/>
          <w:szCs w:val="28"/>
        </w:rPr>
      </w:pPr>
      <w:r>
        <w:rPr>
          <w:rFonts w:hint="eastAsia" w:ascii="宋体" w:hAnsi="宋体"/>
          <w:b/>
          <w:bCs/>
          <w:sz w:val="28"/>
          <w:szCs w:val="28"/>
        </w:rPr>
        <w:t>1.设计基本资料：</w:t>
      </w:r>
      <w:r>
        <w:rPr>
          <w:rFonts w:hint="eastAsia" w:ascii="宋体" w:hAnsi="宋体"/>
          <w:sz w:val="28"/>
          <w:szCs w:val="28"/>
        </w:rPr>
        <w:t>有一座装配式钢筋混凝土简支梁桥，横向有五片主梁构成，主梁和横隔梁截面如图1</w:t>
      </w:r>
      <w:r>
        <w:rPr>
          <w:rFonts w:ascii="宋体" w:hAnsi="宋体"/>
          <w:sz w:val="28"/>
          <w:szCs w:val="28"/>
        </w:rPr>
        <w:t>-1</w:t>
      </w:r>
      <w:r>
        <w:rPr>
          <w:rFonts w:hint="eastAsia" w:ascii="宋体" w:hAnsi="宋体"/>
          <w:sz w:val="28"/>
          <w:szCs w:val="28"/>
        </w:rPr>
        <w:t>~图1</w:t>
      </w:r>
      <w:r>
        <w:rPr>
          <w:rFonts w:ascii="宋体" w:hAnsi="宋体"/>
          <w:sz w:val="28"/>
          <w:szCs w:val="28"/>
        </w:rPr>
        <w:t>-3</w:t>
      </w:r>
      <w:r>
        <w:rPr>
          <w:rFonts w:hint="eastAsia" w:ascii="宋体" w:hAnsi="宋体"/>
          <w:sz w:val="28"/>
          <w:szCs w:val="28"/>
        </w:rPr>
        <w:t>所示，计算跨径L</w:t>
      </w:r>
      <w:r>
        <w:rPr>
          <w:rFonts w:ascii="宋体" w:hAnsi="宋体"/>
          <w:sz w:val="28"/>
          <w:szCs w:val="28"/>
        </w:rPr>
        <w:t>=19.50</w:t>
      </w:r>
      <w:r>
        <w:rPr>
          <w:rFonts w:hint="eastAsia" w:ascii="宋体" w:hAnsi="宋体"/>
          <w:sz w:val="28"/>
          <w:szCs w:val="28"/>
        </w:rPr>
        <w:t>m，结构重要性系数为1</w:t>
      </w:r>
      <w:r>
        <w:rPr>
          <w:rFonts w:ascii="宋体" w:hAnsi="宋体"/>
          <w:sz w:val="28"/>
          <w:szCs w:val="28"/>
        </w:rPr>
        <w:t>.1</w:t>
      </w:r>
      <w:r>
        <w:rPr>
          <w:rFonts w:hint="eastAsia" w:ascii="宋体" w:hAnsi="宋体"/>
          <w:sz w:val="28"/>
          <w:szCs w:val="28"/>
        </w:rPr>
        <w:t>。跨中由汽车荷载产生的弯矩最大值（不计冲击）为1</w:t>
      </w:r>
      <w:r>
        <w:rPr>
          <w:rFonts w:ascii="宋体" w:hAnsi="宋体"/>
          <w:sz w:val="28"/>
          <w:szCs w:val="28"/>
        </w:rPr>
        <w:t>961.58kN.m</w:t>
      </w:r>
      <w:r>
        <w:rPr>
          <w:rFonts w:hint="eastAsia" w:ascii="宋体" w:hAnsi="宋体"/>
          <w:sz w:val="28"/>
          <w:szCs w:val="28"/>
        </w:rPr>
        <w:t>，人群荷载在跨中产生的弯矩最大值为</w:t>
      </w:r>
      <w:r>
        <w:rPr>
          <w:rFonts w:ascii="宋体" w:hAnsi="宋体"/>
          <w:sz w:val="28"/>
          <w:szCs w:val="28"/>
        </w:rPr>
        <w:t>142.59 kN.m</w:t>
      </w:r>
      <w:r>
        <w:rPr>
          <w:rFonts w:hint="eastAsia" w:ascii="宋体" w:hAnsi="宋体"/>
          <w:sz w:val="28"/>
          <w:szCs w:val="28"/>
        </w:rPr>
        <w:t>，汽车和人群荷载的荷载分项系数为1</w:t>
      </w:r>
      <w:r>
        <w:rPr>
          <w:rFonts w:ascii="宋体" w:hAnsi="宋体"/>
          <w:sz w:val="28"/>
          <w:szCs w:val="28"/>
        </w:rPr>
        <w:t>.4</w:t>
      </w:r>
      <w:r>
        <w:rPr>
          <w:rFonts w:hint="eastAsia" w:ascii="宋体" w:hAnsi="宋体"/>
          <w:sz w:val="28"/>
          <w:szCs w:val="28"/>
        </w:rPr>
        <w:t>，自重的荷载分项系数为1</w:t>
      </w:r>
      <w:r>
        <w:rPr>
          <w:rFonts w:ascii="宋体" w:hAnsi="宋体"/>
          <w:sz w:val="28"/>
          <w:szCs w:val="28"/>
        </w:rPr>
        <w:t>.2</w:t>
      </w:r>
      <w:r>
        <w:rPr>
          <w:rFonts w:hint="eastAsia" w:ascii="宋体" w:hAnsi="宋体"/>
          <w:sz w:val="28"/>
          <w:szCs w:val="28"/>
        </w:rPr>
        <w:t>，人群荷载的荷载组合系数为0</w:t>
      </w:r>
      <w:r>
        <w:rPr>
          <w:rFonts w:ascii="宋体" w:hAnsi="宋体"/>
          <w:sz w:val="28"/>
          <w:szCs w:val="28"/>
        </w:rPr>
        <w:t>.75</w:t>
      </w:r>
      <w:r>
        <w:rPr>
          <w:rFonts w:hint="eastAsia" w:ascii="宋体" w:hAnsi="宋体"/>
          <w:sz w:val="28"/>
          <w:szCs w:val="28"/>
        </w:rPr>
        <w:t>，计算得汽车荷载作用下1#跨中弯矩横向分布系数</w:t>
      </w:r>
      <w:r>
        <w:rPr>
          <w:rFonts w:ascii="宋体" w:hAnsi="宋体"/>
          <w:sz w:val="28"/>
          <w:szCs w:val="28"/>
        </w:rPr>
        <w:t>m</w:t>
      </w:r>
      <w:r>
        <w:rPr>
          <w:rFonts w:ascii="宋体" w:hAnsi="宋体"/>
          <w:sz w:val="28"/>
          <w:szCs w:val="28"/>
          <w:vertAlign w:val="subscript"/>
        </w:rPr>
        <w:t>c</w:t>
      </w:r>
      <w:r>
        <w:rPr>
          <w:rFonts w:hint="eastAsia" w:ascii="宋体" w:hAnsi="宋体"/>
          <w:sz w:val="28"/>
          <w:szCs w:val="28"/>
        </w:rPr>
        <w:t>=</w:t>
      </w:r>
      <w:r>
        <w:rPr>
          <w:rFonts w:ascii="宋体" w:hAnsi="宋体"/>
          <w:sz w:val="28"/>
          <w:szCs w:val="28"/>
        </w:rPr>
        <w:t>0.5375</w:t>
      </w:r>
      <w:r>
        <w:rPr>
          <w:rFonts w:hint="eastAsia" w:ascii="宋体" w:hAnsi="宋体"/>
          <w:sz w:val="28"/>
          <w:szCs w:val="28"/>
        </w:rPr>
        <w:t>，人群荷载作用下1#跨中弯矩横向分布系数</w:t>
      </w:r>
      <w:r>
        <w:rPr>
          <w:rFonts w:ascii="宋体" w:hAnsi="宋体"/>
          <w:sz w:val="28"/>
          <w:szCs w:val="28"/>
        </w:rPr>
        <w:t>m</w:t>
      </w:r>
      <w:r>
        <w:rPr>
          <w:rFonts w:ascii="宋体" w:hAnsi="宋体"/>
          <w:sz w:val="28"/>
          <w:szCs w:val="28"/>
          <w:vertAlign w:val="subscript"/>
        </w:rPr>
        <w:t>c</w:t>
      </w:r>
      <w:r>
        <w:rPr>
          <w:rFonts w:hint="eastAsia" w:ascii="宋体" w:hAnsi="宋体"/>
          <w:sz w:val="28"/>
          <w:szCs w:val="28"/>
        </w:rPr>
        <w:t>=</w:t>
      </w:r>
      <w:r>
        <w:rPr>
          <w:rFonts w:ascii="宋体" w:hAnsi="宋体"/>
          <w:sz w:val="28"/>
          <w:szCs w:val="28"/>
        </w:rPr>
        <w:t>0.684</w:t>
      </w:r>
      <w:r>
        <w:rPr>
          <w:rFonts w:hint="eastAsia" w:ascii="宋体" w:hAnsi="宋体"/>
          <w:sz w:val="28"/>
          <w:szCs w:val="28"/>
        </w:rPr>
        <w:t>。</w:t>
      </w:r>
    </w:p>
    <w:p w14:paraId="310753FF">
      <w:pPr>
        <w:adjustRightInd w:val="0"/>
        <w:snapToGrid w:val="0"/>
        <w:spacing w:line="360" w:lineRule="auto"/>
        <w:jc w:val="left"/>
        <w:rPr>
          <w:rFonts w:ascii="宋体" w:hAnsi="宋体"/>
          <w:sz w:val="28"/>
          <w:szCs w:val="28"/>
        </w:rPr>
      </w:pPr>
      <w:r>
        <w:rPr>
          <w:rFonts w:ascii="宋体" w:hAnsi="宋体"/>
          <w:sz w:val="28"/>
          <w:szCs w:val="28"/>
        </w:rPr>
        <w:drawing>
          <wp:inline distT="0" distB="0" distL="0" distR="0">
            <wp:extent cx="5972175" cy="12001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972175" cy="1200290"/>
                    </a:xfrm>
                    <a:prstGeom prst="rect">
                      <a:avLst/>
                    </a:prstGeom>
                    <a:noFill/>
                    <a:ln>
                      <a:noFill/>
                    </a:ln>
                  </pic:spPr>
                </pic:pic>
              </a:graphicData>
            </a:graphic>
          </wp:inline>
        </w:drawing>
      </w:r>
    </w:p>
    <w:p w14:paraId="73EA5CD9">
      <w:pPr>
        <w:adjustRightInd w:val="0"/>
        <w:snapToGrid w:val="0"/>
        <w:spacing w:line="360" w:lineRule="auto"/>
        <w:jc w:val="center"/>
        <w:rPr>
          <w:rFonts w:ascii="宋体" w:hAnsi="宋体"/>
          <w:sz w:val="28"/>
          <w:szCs w:val="28"/>
        </w:rPr>
      </w:pPr>
      <w:r>
        <w:rPr>
          <w:rFonts w:hint="eastAsia" w:ascii="宋体" w:hAnsi="宋体"/>
          <w:sz w:val="28"/>
          <w:szCs w:val="28"/>
        </w:rPr>
        <w:t>图1</w:t>
      </w:r>
      <w:r>
        <w:rPr>
          <w:rFonts w:ascii="宋体" w:hAnsi="宋体"/>
          <w:sz w:val="28"/>
          <w:szCs w:val="28"/>
        </w:rPr>
        <w:t xml:space="preserve">-1 </w:t>
      </w:r>
      <w:r>
        <w:rPr>
          <w:rFonts w:hint="eastAsia" w:ascii="宋体" w:hAnsi="宋体"/>
          <w:sz w:val="28"/>
          <w:szCs w:val="28"/>
        </w:rPr>
        <w:t>主梁纵断面图（单位：cm）</w:t>
      </w:r>
    </w:p>
    <w:p w14:paraId="11C2767E">
      <w:pPr>
        <w:adjustRightInd w:val="0"/>
        <w:snapToGrid w:val="0"/>
        <w:spacing w:line="360" w:lineRule="auto"/>
        <w:jc w:val="left"/>
        <w:rPr>
          <w:rFonts w:ascii="宋体" w:hAnsi="宋体"/>
          <w:sz w:val="28"/>
          <w:szCs w:val="28"/>
        </w:rPr>
      </w:pPr>
      <w:r>
        <w:rPr>
          <w:rFonts w:hint="eastAsia" w:ascii="宋体" w:hAnsi="宋体"/>
          <w:sz w:val="28"/>
          <w:szCs w:val="28"/>
        </w:rPr>
        <w:drawing>
          <wp:inline distT="0" distB="0" distL="0" distR="0">
            <wp:extent cx="5972175" cy="24155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72175" cy="2415711"/>
                    </a:xfrm>
                    <a:prstGeom prst="rect">
                      <a:avLst/>
                    </a:prstGeom>
                    <a:noFill/>
                    <a:ln>
                      <a:noFill/>
                    </a:ln>
                  </pic:spPr>
                </pic:pic>
              </a:graphicData>
            </a:graphic>
          </wp:inline>
        </w:drawing>
      </w:r>
    </w:p>
    <w:p w14:paraId="20F3DAF9">
      <w:pPr>
        <w:adjustRightInd w:val="0"/>
        <w:snapToGrid w:val="0"/>
        <w:spacing w:line="480" w:lineRule="exact"/>
        <w:jc w:val="center"/>
        <w:rPr>
          <w:rFonts w:ascii="宋体" w:hAnsi="宋体"/>
          <w:sz w:val="28"/>
          <w:szCs w:val="28"/>
        </w:rPr>
      </w:pPr>
      <w:r>
        <w:rPr>
          <w:rFonts w:hint="eastAsia" w:ascii="宋体" w:hAnsi="宋体"/>
          <w:sz w:val="28"/>
          <w:szCs w:val="28"/>
        </w:rPr>
        <w:t>图1</w:t>
      </w:r>
      <w:r>
        <w:rPr>
          <w:rFonts w:ascii="宋体" w:hAnsi="宋体"/>
          <w:sz w:val="28"/>
          <w:szCs w:val="28"/>
        </w:rPr>
        <w:t>-</w:t>
      </w:r>
      <w:r>
        <w:rPr>
          <w:rFonts w:hint="eastAsia" w:ascii="宋体" w:hAnsi="宋体"/>
          <w:sz w:val="28"/>
          <w:szCs w:val="28"/>
        </w:rPr>
        <w:t>2</w:t>
      </w:r>
      <w:r>
        <w:rPr>
          <w:rFonts w:ascii="宋体" w:hAnsi="宋体"/>
          <w:sz w:val="28"/>
          <w:szCs w:val="28"/>
        </w:rPr>
        <w:t xml:space="preserve"> </w:t>
      </w:r>
      <w:r>
        <w:rPr>
          <w:rFonts w:hint="eastAsia" w:ascii="宋体" w:hAnsi="宋体"/>
          <w:sz w:val="28"/>
          <w:szCs w:val="28"/>
        </w:rPr>
        <w:t>主梁横断面图（单位：cm）</w:t>
      </w:r>
    </w:p>
    <w:p w14:paraId="15AA6189">
      <w:pPr>
        <w:adjustRightInd w:val="0"/>
        <w:snapToGrid w:val="0"/>
        <w:spacing w:line="360" w:lineRule="auto"/>
        <w:jc w:val="center"/>
        <w:rPr>
          <w:rFonts w:ascii="宋体" w:hAnsi="宋体"/>
          <w:sz w:val="28"/>
          <w:szCs w:val="28"/>
        </w:rPr>
      </w:pPr>
      <w:r>
        <w:rPr>
          <w:rFonts w:ascii="宋体" w:hAnsi="宋体"/>
          <w:sz w:val="28"/>
          <w:szCs w:val="28"/>
        </w:rPr>
        <w:drawing>
          <wp:inline distT="0" distB="0" distL="0" distR="0">
            <wp:extent cx="1567180" cy="13792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593779" cy="1402301"/>
                    </a:xfrm>
                    <a:prstGeom prst="rect">
                      <a:avLst/>
                    </a:prstGeom>
                    <a:noFill/>
                    <a:ln>
                      <a:noFill/>
                    </a:ln>
                  </pic:spPr>
                </pic:pic>
              </a:graphicData>
            </a:graphic>
          </wp:inline>
        </w:drawing>
      </w:r>
    </w:p>
    <w:p w14:paraId="6D52E9DC">
      <w:pPr>
        <w:adjustRightInd w:val="0"/>
        <w:snapToGrid w:val="0"/>
        <w:spacing w:line="480" w:lineRule="exact"/>
        <w:jc w:val="center"/>
        <w:rPr>
          <w:rFonts w:ascii="宋体" w:hAnsi="宋体"/>
          <w:sz w:val="28"/>
          <w:szCs w:val="28"/>
        </w:rPr>
      </w:pPr>
      <w:r>
        <w:rPr>
          <w:rFonts w:hint="eastAsia" w:ascii="宋体" w:hAnsi="宋体"/>
          <w:sz w:val="28"/>
          <w:szCs w:val="28"/>
        </w:rPr>
        <w:t>图1</w:t>
      </w:r>
      <w:r>
        <w:rPr>
          <w:rFonts w:ascii="宋体" w:hAnsi="宋体"/>
          <w:sz w:val="28"/>
          <w:szCs w:val="28"/>
        </w:rPr>
        <w:t>-</w:t>
      </w:r>
      <w:r>
        <w:rPr>
          <w:rFonts w:hint="eastAsia" w:ascii="宋体" w:hAnsi="宋体"/>
          <w:sz w:val="28"/>
          <w:szCs w:val="28"/>
        </w:rPr>
        <w:t>3</w:t>
      </w:r>
      <w:r>
        <w:rPr>
          <w:rFonts w:ascii="宋体" w:hAnsi="宋体"/>
          <w:sz w:val="28"/>
          <w:szCs w:val="28"/>
        </w:rPr>
        <w:t xml:space="preserve"> </w:t>
      </w:r>
      <w:r>
        <w:rPr>
          <w:rFonts w:hint="eastAsia" w:ascii="宋体" w:hAnsi="宋体"/>
          <w:sz w:val="28"/>
          <w:szCs w:val="28"/>
        </w:rPr>
        <w:t>主梁截面面图（单位：cm）</w:t>
      </w:r>
    </w:p>
    <w:p w14:paraId="53606A60">
      <w:pPr>
        <w:adjustRightInd w:val="0"/>
        <w:snapToGrid w:val="0"/>
        <w:spacing w:line="480" w:lineRule="exact"/>
        <w:jc w:val="left"/>
        <w:rPr>
          <w:rFonts w:ascii="宋体" w:hAnsi="宋体"/>
          <w:b/>
          <w:bCs/>
          <w:sz w:val="28"/>
          <w:szCs w:val="28"/>
        </w:rPr>
      </w:pPr>
      <w:r>
        <w:rPr>
          <w:rFonts w:hint="eastAsia" w:ascii="宋体" w:hAnsi="宋体"/>
          <w:b/>
          <w:bCs/>
          <w:sz w:val="28"/>
          <w:szCs w:val="28"/>
        </w:rPr>
        <w:t>2.主要技术标准：</w:t>
      </w:r>
    </w:p>
    <w:p w14:paraId="4C5544D8">
      <w:pPr>
        <w:adjustRightInd w:val="0"/>
        <w:snapToGrid w:val="0"/>
        <w:spacing w:line="480" w:lineRule="exact"/>
        <w:jc w:val="left"/>
        <w:rPr>
          <w:rFonts w:ascii="宋体" w:hAnsi="宋体"/>
          <w:sz w:val="28"/>
          <w:szCs w:val="28"/>
        </w:rPr>
      </w:pPr>
      <w:r>
        <w:rPr>
          <w:rFonts w:hint="eastAsia" w:ascii="宋体" w:hAnsi="宋体"/>
          <w:sz w:val="28"/>
          <w:szCs w:val="28"/>
        </w:rPr>
        <w:t>①</w:t>
      </w:r>
      <w:r>
        <w:rPr>
          <w:rFonts w:ascii="宋体" w:hAnsi="宋体"/>
          <w:sz w:val="28"/>
          <w:szCs w:val="28"/>
        </w:rPr>
        <w:t>荷载等级：公路—I级</w:t>
      </w:r>
      <w:r>
        <w:rPr>
          <w:rFonts w:hint="eastAsia" w:ascii="宋体" w:hAnsi="宋体"/>
          <w:sz w:val="28"/>
          <w:szCs w:val="28"/>
        </w:rPr>
        <w:t>；人群荷载3.0kN/m</w:t>
      </w:r>
      <w:r>
        <w:rPr>
          <w:rFonts w:hint="eastAsia" w:ascii="宋体" w:hAnsi="宋体"/>
          <w:sz w:val="28"/>
          <w:szCs w:val="28"/>
          <w:vertAlign w:val="superscript"/>
        </w:rPr>
        <w:t>2</w:t>
      </w:r>
      <w:r>
        <w:rPr>
          <w:rFonts w:hint="eastAsia" w:ascii="宋体" w:hAnsi="宋体"/>
          <w:sz w:val="28"/>
          <w:szCs w:val="28"/>
        </w:rPr>
        <w:t>。</w:t>
      </w:r>
    </w:p>
    <w:p w14:paraId="26C9A323">
      <w:pPr>
        <w:adjustRightInd w:val="0"/>
        <w:snapToGrid w:val="0"/>
        <w:spacing w:line="480" w:lineRule="exact"/>
        <w:jc w:val="left"/>
        <w:rPr>
          <w:rFonts w:ascii="宋体" w:hAnsi="宋体"/>
          <w:sz w:val="28"/>
          <w:szCs w:val="28"/>
        </w:rPr>
      </w:pPr>
      <w:r>
        <w:rPr>
          <w:rFonts w:hint="eastAsia" w:ascii="宋体" w:hAnsi="宋体"/>
          <w:sz w:val="28"/>
          <w:szCs w:val="28"/>
        </w:rPr>
        <w:t>②桥梁宽度：</w:t>
      </w:r>
      <w:r>
        <w:rPr>
          <w:rFonts w:ascii="宋体" w:hAnsi="宋体"/>
          <w:sz w:val="28"/>
          <w:szCs w:val="28"/>
        </w:rPr>
        <w:t>0.75+3.50+3.50+0.75=8.50m</w:t>
      </w:r>
      <w:r>
        <w:rPr>
          <w:rFonts w:hint="eastAsia" w:ascii="宋体" w:hAnsi="宋体"/>
          <w:sz w:val="28"/>
          <w:szCs w:val="28"/>
        </w:rPr>
        <w:t>，双向横坡为</w:t>
      </w:r>
      <w:r>
        <w:rPr>
          <w:rFonts w:ascii="宋体" w:hAnsi="宋体"/>
          <w:sz w:val="28"/>
          <w:szCs w:val="28"/>
        </w:rPr>
        <w:t>1.5%</w:t>
      </w:r>
      <w:r>
        <w:rPr>
          <w:rFonts w:hint="eastAsia" w:ascii="宋体" w:hAnsi="宋体"/>
          <w:sz w:val="28"/>
          <w:szCs w:val="28"/>
        </w:rPr>
        <w:t>。</w:t>
      </w:r>
    </w:p>
    <w:p w14:paraId="7EB6EEE5">
      <w:pPr>
        <w:adjustRightInd w:val="0"/>
        <w:snapToGrid w:val="0"/>
        <w:spacing w:line="480" w:lineRule="exact"/>
        <w:jc w:val="left"/>
        <w:rPr>
          <w:rFonts w:ascii="宋体" w:hAnsi="宋体"/>
          <w:sz w:val="28"/>
          <w:szCs w:val="28"/>
        </w:rPr>
      </w:pPr>
      <w:r>
        <w:rPr>
          <w:rFonts w:hint="eastAsia" w:ascii="宋体" w:hAnsi="宋体"/>
          <w:sz w:val="28"/>
          <w:szCs w:val="28"/>
        </w:rPr>
        <w:t>③</w:t>
      </w:r>
      <w:r>
        <w:rPr>
          <w:rFonts w:ascii="宋体" w:hAnsi="宋体"/>
          <w:sz w:val="28"/>
          <w:szCs w:val="28"/>
        </w:rPr>
        <w:t>航道等级：无通航要求。</w:t>
      </w:r>
    </w:p>
    <w:p w14:paraId="6227252B">
      <w:pPr>
        <w:adjustRightInd w:val="0"/>
        <w:snapToGrid w:val="0"/>
        <w:spacing w:line="480" w:lineRule="exact"/>
        <w:jc w:val="left"/>
        <w:rPr>
          <w:rFonts w:ascii="宋体" w:hAnsi="宋体"/>
          <w:sz w:val="28"/>
          <w:szCs w:val="28"/>
        </w:rPr>
      </w:pPr>
      <w:r>
        <w:rPr>
          <w:rFonts w:hint="eastAsia" w:ascii="宋体" w:hAnsi="宋体"/>
          <w:sz w:val="28"/>
          <w:szCs w:val="28"/>
        </w:rPr>
        <w:t>④</w:t>
      </w:r>
      <w:r>
        <w:rPr>
          <w:rFonts w:ascii="宋体" w:hAnsi="宋体"/>
          <w:sz w:val="28"/>
          <w:szCs w:val="28"/>
        </w:rPr>
        <w:t>设计洪水频率：1/</w:t>
      </w:r>
      <w:r>
        <w:rPr>
          <w:rFonts w:hint="eastAsia" w:ascii="宋体" w:hAnsi="宋体"/>
          <w:sz w:val="28"/>
          <w:szCs w:val="28"/>
        </w:rPr>
        <w:t>10</w:t>
      </w:r>
      <w:r>
        <w:rPr>
          <w:rFonts w:ascii="宋体" w:hAnsi="宋体"/>
          <w:sz w:val="28"/>
          <w:szCs w:val="28"/>
        </w:rPr>
        <w:t>0</w:t>
      </w:r>
      <w:r>
        <w:rPr>
          <w:rFonts w:hint="eastAsia" w:ascii="宋体" w:hAnsi="宋体"/>
          <w:sz w:val="28"/>
          <w:szCs w:val="28"/>
        </w:rPr>
        <w:t>。</w:t>
      </w:r>
    </w:p>
    <w:p w14:paraId="544176FC">
      <w:pPr>
        <w:adjustRightInd w:val="0"/>
        <w:snapToGrid w:val="0"/>
        <w:spacing w:line="480" w:lineRule="exact"/>
        <w:jc w:val="left"/>
        <w:rPr>
          <w:rFonts w:ascii="宋体" w:hAnsi="宋体"/>
          <w:sz w:val="28"/>
          <w:szCs w:val="28"/>
        </w:rPr>
      </w:pPr>
      <w:r>
        <w:rPr>
          <w:rFonts w:hint="eastAsia" w:ascii="宋体" w:hAnsi="宋体"/>
          <w:sz w:val="28"/>
          <w:szCs w:val="28"/>
        </w:rPr>
        <w:t>⑤</w:t>
      </w:r>
      <w:r>
        <w:rPr>
          <w:rFonts w:ascii="宋体" w:hAnsi="宋体"/>
          <w:sz w:val="28"/>
          <w:szCs w:val="28"/>
        </w:rPr>
        <w:t>地震动参数：地震动峰值加速度＜0.05g，地震动反应谱特征周期为0.40s，采用简易设防。</w:t>
      </w:r>
    </w:p>
    <w:p w14:paraId="6D9A7961">
      <w:pPr>
        <w:adjustRightInd w:val="0"/>
        <w:snapToGrid w:val="0"/>
        <w:spacing w:line="480" w:lineRule="exact"/>
        <w:jc w:val="left"/>
        <w:rPr>
          <w:rFonts w:ascii="宋体" w:hAnsi="宋体"/>
          <w:sz w:val="28"/>
          <w:szCs w:val="28"/>
        </w:rPr>
      </w:pPr>
      <w:r>
        <w:rPr>
          <w:rFonts w:hint="eastAsia" w:ascii="宋体" w:hAnsi="宋体"/>
          <w:sz w:val="28"/>
          <w:szCs w:val="28"/>
        </w:rPr>
        <w:t>⑥</w:t>
      </w:r>
      <w:r>
        <w:rPr>
          <w:rFonts w:ascii="宋体" w:hAnsi="宋体"/>
          <w:sz w:val="28"/>
          <w:szCs w:val="28"/>
        </w:rPr>
        <w:t>设计基准期：100年。</w:t>
      </w:r>
    </w:p>
    <w:p w14:paraId="5A177F0B">
      <w:pPr>
        <w:adjustRightInd w:val="0"/>
        <w:snapToGrid w:val="0"/>
        <w:spacing w:line="480" w:lineRule="exact"/>
        <w:jc w:val="left"/>
        <w:rPr>
          <w:rFonts w:ascii="宋体" w:hAnsi="宋体"/>
          <w:sz w:val="28"/>
          <w:szCs w:val="28"/>
        </w:rPr>
      </w:pPr>
      <w:r>
        <w:rPr>
          <w:rFonts w:hint="eastAsia" w:ascii="宋体" w:hAnsi="宋体"/>
          <w:sz w:val="28"/>
          <w:szCs w:val="28"/>
        </w:rPr>
        <w:t>⑦汽车冲击系数：0</w:t>
      </w:r>
      <w:r>
        <w:rPr>
          <w:rFonts w:ascii="宋体" w:hAnsi="宋体"/>
          <w:sz w:val="28"/>
          <w:szCs w:val="28"/>
        </w:rPr>
        <w:t>.296。</w:t>
      </w:r>
    </w:p>
    <w:p w14:paraId="6B81DE59">
      <w:pPr>
        <w:adjustRightInd w:val="0"/>
        <w:snapToGrid w:val="0"/>
        <w:spacing w:line="480" w:lineRule="exact"/>
        <w:jc w:val="left"/>
        <w:rPr>
          <w:rFonts w:ascii="宋体" w:hAnsi="宋体"/>
          <w:b/>
          <w:bCs/>
          <w:sz w:val="28"/>
          <w:szCs w:val="28"/>
        </w:rPr>
      </w:pPr>
      <w:r>
        <w:rPr>
          <w:rFonts w:hint="eastAsia" w:ascii="宋体" w:hAnsi="宋体"/>
          <w:b/>
          <w:bCs/>
          <w:sz w:val="28"/>
          <w:szCs w:val="28"/>
        </w:rPr>
        <w:t>3</w:t>
      </w:r>
      <w:bookmarkStart w:id="0" w:name="_Toc239174920"/>
      <w:r>
        <w:rPr>
          <w:rFonts w:hint="eastAsia" w:ascii="宋体" w:hAnsi="宋体"/>
          <w:b/>
          <w:bCs/>
          <w:sz w:val="28"/>
          <w:szCs w:val="28"/>
        </w:rPr>
        <w:t>.主要材料</w:t>
      </w:r>
      <w:bookmarkEnd w:id="0"/>
      <w:r>
        <w:rPr>
          <w:rFonts w:hint="eastAsia" w:ascii="宋体" w:hAnsi="宋体"/>
          <w:b/>
          <w:bCs/>
          <w:sz w:val="28"/>
          <w:szCs w:val="28"/>
        </w:rPr>
        <w:t>：</w:t>
      </w:r>
    </w:p>
    <w:p w14:paraId="25B3B402">
      <w:pPr>
        <w:adjustRightInd w:val="0"/>
        <w:snapToGrid w:val="0"/>
        <w:spacing w:line="480" w:lineRule="exact"/>
        <w:jc w:val="left"/>
        <w:rPr>
          <w:rFonts w:ascii="宋体" w:hAnsi="宋体"/>
          <w:sz w:val="28"/>
          <w:szCs w:val="28"/>
        </w:rPr>
      </w:pPr>
      <w:r>
        <w:rPr>
          <w:rFonts w:ascii="宋体" w:hAnsi="宋体"/>
          <w:sz w:val="28"/>
          <w:szCs w:val="28"/>
        </w:rPr>
        <w:t>混凝土：20m预制T形梁及其现浇接缝、封锚、墩顶现浇连续段和桥面现浇层均采用C50混凝土</w:t>
      </w:r>
      <w:r>
        <w:rPr>
          <w:rFonts w:hint="eastAsia" w:ascii="宋体" w:hAnsi="宋体"/>
          <w:sz w:val="28"/>
          <w:szCs w:val="28"/>
        </w:rPr>
        <w:t>，容重为2</w:t>
      </w:r>
      <w:r>
        <w:rPr>
          <w:rFonts w:ascii="宋体" w:hAnsi="宋体"/>
          <w:sz w:val="28"/>
          <w:szCs w:val="28"/>
        </w:rPr>
        <w:t>5</w:t>
      </w:r>
      <w:r>
        <w:rPr>
          <w:rFonts w:hint="eastAsia" w:ascii="宋体" w:hAnsi="宋体"/>
          <w:color w:val="000000"/>
          <w:kern w:val="0"/>
          <w:sz w:val="28"/>
          <w:szCs w:val="28"/>
        </w:rPr>
        <w:t xml:space="preserve"> k</w:t>
      </w:r>
      <w:r>
        <w:rPr>
          <w:rFonts w:ascii="宋体" w:hAnsi="宋体"/>
          <w:color w:val="000000"/>
          <w:kern w:val="0"/>
          <w:sz w:val="28"/>
          <w:szCs w:val="28"/>
        </w:rPr>
        <w:t>N/m</w:t>
      </w:r>
      <w:r>
        <w:rPr>
          <w:rFonts w:ascii="宋体" w:hAnsi="宋体"/>
          <w:color w:val="000000"/>
          <w:kern w:val="0"/>
          <w:sz w:val="28"/>
          <w:szCs w:val="28"/>
          <w:vertAlign w:val="superscript"/>
        </w:rPr>
        <w:t>3</w:t>
      </w:r>
      <w:r>
        <w:rPr>
          <w:rFonts w:ascii="宋体" w:hAnsi="宋体"/>
          <w:sz w:val="28"/>
          <w:szCs w:val="28"/>
        </w:rPr>
        <w:t>。</w:t>
      </w:r>
      <w:r>
        <w:rPr>
          <w:rFonts w:hint="eastAsia" w:ascii="宋体" w:hAnsi="宋体"/>
          <w:sz w:val="28"/>
          <w:szCs w:val="28"/>
        </w:rPr>
        <w:t>（注：计算主梁自重时，请按1m长度计算其均布荷载。）</w:t>
      </w:r>
    </w:p>
    <w:p w14:paraId="18396B8B">
      <w:pPr>
        <w:adjustRightInd w:val="0"/>
        <w:snapToGrid w:val="0"/>
        <w:spacing w:line="480" w:lineRule="exact"/>
        <w:jc w:val="left"/>
        <w:rPr>
          <w:rFonts w:ascii="宋体" w:hAnsi="宋体"/>
          <w:b/>
          <w:bCs/>
          <w:sz w:val="28"/>
          <w:szCs w:val="28"/>
        </w:rPr>
      </w:pPr>
      <w:r>
        <w:rPr>
          <w:rFonts w:hint="eastAsia" w:ascii="宋体" w:hAnsi="宋体"/>
          <w:b/>
          <w:bCs/>
          <w:sz w:val="28"/>
          <w:szCs w:val="28"/>
        </w:rPr>
        <w:t>4.设计计算依据</w:t>
      </w:r>
    </w:p>
    <w:p w14:paraId="46D599D3">
      <w:pPr>
        <w:adjustRightInd w:val="0"/>
        <w:snapToGrid w:val="0"/>
        <w:spacing w:line="480" w:lineRule="exact"/>
        <w:jc w:val="left"/>
        <w:rPr>
          <w:rFonts w:ascii="宋体" w:hAnsi="宋体"/>
          <w:sz w:val="28"/>
          <w:szCs w:val="28"/>
        </w:rPr>
      </w:pPr>
      <w:r>
        <w:rPr>
          <w:rFonts w:ascii="宋体" w:hAnsi="宋体"/>
          <w:sz w:val="28"/>
          <w:szCs w:val="28"/>
        </w:rPr>
        <w:t>《公路桥涵设计通用规范》（JTG D60-20</w:t>
      </w:r>
      <w:r>
        <w:rPr>
          <w:rFonts w:hint="eastAsia" w:ascii="宋体" w:hAnsi="宋体"/>
          <w:sz w:val="28"/>
          <w:szCs w:val="28"/>
        </w:rPr>
        <w:t>15</w:t>
      </w:r>
      <w:r>
        <w:rPr>
          <w:rFonts w:ascii="宋体" w:hAnsi="宋体"/>
          <w:sz w:val="28"/>
          <w:szCs w:val="28"/>
        </w:rPr>
        <w:t>）（以下均简称为《通规》）；</w:t>
      </w:r>
    </w:p>
    <w:p w14:paraId="626FD5C8">
      <w:pPr>
        <w:adjustRightInd w:val="0"/>
        <w:snapToGrid w:val="0"/>
        <w:spacing w:line="480" w:lineRule="exact"/>
        <w:jc w:val="left"/>
        <w:rPr>
          <w:rFonts w:ascii="宋体" w:hAnsi="宋体"/>
          <w:b/>
          <w:bCs/>
          <w:sz w:val="28"/>
          <w:szCs w:val="28"/>
        </w:rPr>
      </w:pPr>
      <w:r>
        <w:rPr>
          <w:rFonts w:hint="eastAsia" w:ascii="宋体" w:hAnsi="宋体"/>
          <w:b/>
          <w:bCs/>
          <w:sz w:val="28"/>
          <w:szCs w:val="28"/>
        </w:rPr>
        <w:t>5.请计算</w:t>
      </w:r>
    </w:p>
    <w:p w14:paraId="67572B19">
      <w:pPr>
        <w:adjustRightInd w:val="0"/>
        <w:snapToGrid w:val="0"/>
        <w:spacing w:line="480" w:lineRule="exact"/>
        <w:jc w:val="left"/>
        <w:rPr>
          <w:rFonts w:ascii="宋体" w:hAnsi="宋体"/>
          <w:b/>
          <w:bCs/>
          <w:sz w:val="28"/>
          <w:szCs w:val="28"/>
        </w:rPr>
      </w:pPr>
      <w:r>
        <w:rPr>
          <w:rFonts w:hint="eastAsia" w:ascii="宋体" w:hAnsi="宋体"/>
          <w:sz w:val="28"/>
          <w:szCs w:val="28"/>
        </w:rPr>
        <w:t>①</w:t>
      </w:r>
      <w:r>
        <w:rPr>
          <w:rFonts w:hint="eastAsia" w:ascii="宋体" w:hAnsi="宋体"/>
          <w:b/>
          <w:bCs/>
          <w:sz w:val="28"/>
          <w:szCs w:val="28"/>
        </w:rPr>
        <w:t>边主梁自重及边主梁跨中截面恒载弯矩效应值</w:t>
      </w:r>
    </w:p>
    <w:p w14:paraId="6C0241BD">
      <w:pPr>
        <w:adjustRightInd w:val="0"/>
        <w:snapToGrid w:val="0"/>
        <w:spacing w:line="480" w:lineRule="exact"/>
        <w:jc w:val="left"/>
        <w:rPr>
          <w:rFonts w:ascii="宋体" w:hAnsi="宋体"/>
          <w:bCs/>
          <w:sz w:val="24"/>
          <w:szCs w:val="28"/>
        </w:rPr>
      </w:pPr>
      <w:r>
        <w:rPr>
          <w:rFonts w:hint="eastAsia" w:ascii="宋体" w:hAnsi="宋体"/>
          <w:bCs/>
          <w:sz w:val="24"/>
          <w:szCs w:val="28"/>
        </w:rPr>
        <w:t>（注：同时计入二期铺装及栏杆、人行道重量，已知二期铺装、栏杆及人行道构件分配到边主梁（1#）上重力的作用为6.3Kn/m）在跨中截面产生的弯矩（</w:t>
      </w:r>
      <w:r>
        <w:rPr>
          <w:rFonts w:ascii="宋体" w:hAnsi="宋体"/>
          <w:bCs/>
          <w:i/>
          <w:sz w:val="24"/>
          <w:szCs w:val="28"/>
        </w:rPr>
        <w:t>M=ql</w:t>
      </w:r>
      <w:r>
        <w:rPr>
          <w:rFonts w:ascii="宋体" w:hAnsi="宋体"/>
          <w:bCs/>
          <w:sz w:val="24"/>
          <w:szCs w:val="28"/>
          <w:vertAlign w:val="superscript"/>
        </w:rPr>
        <w:t>2</w:t>
      </w:r>
      <w:r>
        <w:rPr>
          <w:rFonts w:ascii="宋体" w:hAnsi="宋体"/>
          <w:bCs/>
          <w:i/>
          <w:sz w:val="24"/>
          <w:szCs w:val="28"/>
        </w:rPr>
        <w:t>/8</w:t>
      </w:r>
      <w:r>
        <w:rPr>
          <w:rFonts w:hint="eastAsia" w:ascii="宋体" w:hAnsi="宋体"/>
          <w:bCs/>
          <w:sz w:val="24"/>
          <w:szCs w:val="28"/>
        </w:rPr>
        <w:t>）。</w:t>
      </w:r>
    </w:p>
    <w:p w14:paraId="73A291D2">
      <w:pPr>
        <w:adjustRightInd w:val="0"/>
        <w:snapToGrid w:val="0"/>
        <w:spacing w:line="480" w:lineRule="exact"/>
        <w:jc w:val="left"/>
        <w:rPr>
          <w:rFonts w:ascii="宋体" w:hAnsi="宋体"/>
          <w:b/>
          <w:bCs/>
          <w:sz w:val="28"/>
          <w:szCs w:val="28"/>
        </w:rPr>
      </w:pPr>
      <w:r>
        <w:rPr>
          <w:rFonts w:hint="eastAsia" w:ascii="宋体" w:hAnsi="宋体"/>
          <w:sz w:val="28"/>
          <w:szCs w:val="28"/>
        </w:rPr>
        <w:t>②</w:t>
      </w:r>
      <w:r>
        <w:rPr>
          <w:rFonts w:hint="eastAsia" w:ascii="宋体" w:hAnsi="宋体"/>
          <w:b/>
          <w:bCs/>
          <w:sz w:val="28"/>
          <w:szCs w:val="28"/>
        </w:rPr>
        <w:t>计算边主梁跨中截面活载弯矩效应值（计入冲击）</w:t>
      </w:r>
    </w:p>
    <w:p w14:paraId="2223B417">
      <w:pPr>
        <w:adjustRightInd w:val="0"/>
        <w:snapToGrid w:val="0"/>
        <w:spacing w:line="480" w:lineRule="exact"/>
        <w:jc w:val="left"/>
        <w:rPr>
          <w:rFonts w:hint="eastAsia" w:ascii="宋体" w:hAnsi="宋体"/>
          <w:b/>
          <w:bCs/>
          <w:sz w:val="28"/>
          <w:szCs w:val="28"/>
        </w:rPr>
      </w:pPr>
      <w:r>
        <w:rPr>
          <w:rFonts w:hint="eastAsia" w:ascii="宋体" w:hAnsi="宋体"/>
          <w:sz w:val="28"/>
          <w:szCs w:val="28"/>
        </w:rPr>
        <w:t>③</w:t>
      </w:r>
      <w:r>
        <w:rPr>
          <w:rFonts w:hint="eastAsia" w:ascii="宋体" w:hAnsi="宋体"/>
          <w:b/>
          <w:bCs/>
          <w:sz w:val="28"/>
          <w:szCs w:val="28"/>
        </w:rPr>
        <w:t>计算承载能力极限状态设计时的边主梁跨中截面作用基本组合的设计弯矩。</w:t>
      </w:r>
    </w:p>
    <w:sectPr>
      <w:footerReference r:id="rId3" w:type="default"/>
      <w:pgSz w:w="12240" w:h="15840"/>
      <w:pgMar w:top="1134" w:right="1134" w:bottom="851" w:left="170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1CB3B">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RlNDM2ZWFiZWRmN2Q4Mzk3MmRkOTc1OGViNGVmNTMifQ=="/>
  </w:docVars>
  <w:rsids>
    <w:rsidRoot w:val="009E4B82"/>
    <w:rsid w:val="0001648B"/>
    <w:rsid w:val="00052D26"/>
    <w:rsid w:val="00061B23"/>
    <w:rsid w:val="00063C04"/>
    <w:rsid w:val="00064245"/>
    <w:rsid w:val="00067429"/>
    <w:rsid w:val="00090CCC"/>
    <w:rsid w:val="000A0A48"/>
    <w:rsid w:val="000D1743"/>
    <w:rsid w:val="000F3067"/>
    <w:rsid w:val="00100A55"/>
    <w:rsid w:val="00145AC3"/>
    <w:rsid w:val="00195528"/>
    <w:rsid w:val="001B2BAF"/>
    <w:rsid w:val="001B5E82"/>
    <w:rsid w:val="001D0518"/>
    <w:rsid w:val="001E1632"/>
    <w:rsid w:val="001F4B3A"/>
    <w:rsid w:val="00201501"/>
    <w:rsid w:val="00211135"/>
    <w:rsid w:val="0021511E"/>
    <w:rsid w:val="00241D74"/>
    <w:rsid w:val="0024255B"/>
    <w:rsid w:val="00255DC1"/>
    <w:rsid w:val="002B623A"/>
    <w:rsid w:val="002E7B72"/>
    <w:rsid w:val="002F5167"/>
    <w:rsid w:val="00300466"/>
    <w:rsid w:val="0031244D"/>
    <w:rsid w:val="003502E6"/>
    <w:rsid w:val="0035293D"/>
    <w:rsid w:val="00387A79"/>
    <w:rsid w:val="003922CD"/>
    <w:rsid w:val="003A6721"/>
    <w:rsid w:val="003C1E1F"/>
    <w:rsid w:val="003D1169"/>
    <w:rsid w:val="003D1C24"/>
    <w:rsid w:val="004334DF"/>
    <w:rsid w:val="0046286A"/>
    <w:rsid w:val="004633EE"/>
    <w:rsid w:val="004745FC"/>
    <w:rsid w:val="004A4227"/>
    <w:rsid w:val="004B446E"/>
    <w:rsid w:val="004C0632"/>
    <w:rsid w:val="004C775E"/>
    <w:rsid w:val="004F16C9"/>
    <w:rsid w:val="005777E3"/>
    <w:rsid w:val="00577FA2"/>
    <w:rsid w:val="005875F4"/>
    <w:rsid w:val="005A4A50"/>
    <w:rsid w:val="00620AD6"/>
    <w:rsid w:val="00622C38"/>
    <w:rsid w:val="0064304F"/>
    <w:rsid w:val="0064617F"/>
    <w:rsid w:val="006578AB"/>
    <w:rsid w:val="00680A58"/>
    <w:rsid w:val="00691CE1"/>
    <w:rsid w:val="006974D2"/>
    <w:rsid w:val="006B369D"/>
    <w:rsid w:val="006E0339"/>
    <w:rsid w:val="006E12C1"/>
    <w:rsid w:val="006E51B8"/>
    <w:rsid w:val="00714426"/>
    <w:rsid w:val="00766737"/>
    <w:rsid w:val="0077616E"/>
    <w:rsid w:val="0079365A"/>
    <w:rsid w:val="007F1218"/>
    <w:rsid w:val="007F2F3B"/>
    <w:rsid w:val="00801E69"/>
    <w:rsid w:val="008042AB"/>
    <w:rsid w:val="00817F51"/>
    <w:rsid w:val="008208A2"/>
    <w:rsid w:val="00823E4E"/>
    <w:rsid w:val="00823F19"/>
    <w:rsid w:val="0082516C"/>
    <w:rsid w:val="00825401"/>
    <w:rsid w:val="00861C20"/>
    <w:rsid w:val="00862E05"/>
    <w:rsid w:val="00892F4F"/>
    <w:rsid w:val="008B2DF9"/>
    <w:rsid w:val="008B4A33"/>
    <w:rsid w:val="008D4C41"/>
    <w:rsid w:val="008D53DB"/>
    <w:rsid w:val="008E148F"/>
    <w:rsid w:val="008E6084"/>
    <w:rsid w:val="008F412C"/>
    <w:rsid w:val="00900804"/>
    <w:rsid w:val="00902994"/>
    <w:rsid w:val="00907A7D"/>
    <w:rsid w:val="00925215"/>
    <w:rsid w:val="00932685"/>
    <w:rsid w:val="00933EC5"/>
    <w:rsid w:val="009559E2"/>
    <w:rsid w:val="0095687F"/>
    <w:rsid w:val="00962EEE"/>
    <w:rsid w:val="0097666E"/>
    <w:rsid w:val="00983353"/>
    <w:rsid w:val="009846BA"/>
    <w:rsid w:val="00987D72"/>
    <w:rsid w:val="009938BD"/>
    <w:rsid w:val="009B37D8"/>
    <w:rsid w:val="009E492D"/>
    <w:rsid w:val="009E4B82"/>
    <w:rsid w:val="00A05859"/>
    <w:rsid w:val="00A57D8A"/>
    <w:rsid w:val="00A93587"/>
    <w:rsid w:val="00A9361C"/>
    <w:rsid w:val="00AA2216"/>
    <w:rsid w:val="00AA7A87"/>
    <w:rsid w:val="00AD1911"/>
    <w:rsid w:val="00B04E2B"/>
    <w:rsid w:val="00B12117"/>
    <w:rsid w:val="00B26C47"/>
    <w:rsid w:val="00B60173"/>
    <w:rsid w:val="00B70581"/>
    <w:rsid w:val="00B8045B"/>
    <w:rsid w:val="00B83552"/>
    <w:rsid w:val="00B8748A"/>
    <w:rsid w:val="00BC02B1"/>
    <w:rsid w:val="00BD51C4"/>
    <w:rsid w:val="00C3617F"/>
    <w:rsid w:val="00C57352"/>
    <w:rsid w:val="00C773BC"/>
    <w:rsid w:val="00CA11FB"/>
    <w:rsid w:val="00CC301A"/>
    <w:rsid w:val="00CE60BB"/>
    <w:rsid w:val="00CF5A04"/>
    <w:rsid w:val="00D00AC2"/>
    <w:rsid w:val="00D17252"/>
    <w:rsid w:val="00D25EE6"/>
    <w:rsid w:val="00D3285D"/>
    <w:rsid w:val="00D32B40"/>
    <w:rsid w:val="00D57F21"/>
    <w:rsid w:val="00D62253"/>
    <w:rsid w:val="00D77689"/>
    <w:rsid w:val="00D864EA"/>
    <w:rsid w:val="00D9788C"/>
    <w:rsid w:val="00DC3864"/>
    <w:rsid w:val="00DD2024"/>
    <w:rsid w:val="00DD48D6"/>
    <w:rsid w:val="00DD4F8C"/>
    <w:rsid w:val="00DD5380"/>
    <w:rsid w:val="00DE5365"/>
    <w:rsid w:val="00E57375"/>
    <w:rsid w:val="00E764EA"/>
    <w:rsid w:val="00EA18B8"/>
    <w:rsid w:val="00EA229E"/>
    <w:rsid w:val="00EA60DC"/>
    <w:rsid w:val="00EB3F8A"/>
    <w:rsid w:val="00EF39C0"/>
    <w:rsid w:val="00F175F2"/>
    <w:rsid w:val="00F2059A"/>
    <w:rsid w:val="00F20FE4"/>
    <w:rsid w:val="00F32FAE"/>
    <w:rsid w:val="00F34CA7"/>
    <w:rsid w:val="00F351BE"/>
    <w:rsid w:val="00F50A94"/>
    <w:rsid w:val="00F9144F"/>
    <w:rsid w:val="00FA2A08"/>
    <w:rsid w:val="00FE2EB4"/>
    <w:rsid w:val="09B1626C"/>
    <w:rsid w:val="1A6D038D"/>
    <w:rsid w:val="20C77E85"/>
    <w:rsid w:val="211B35D9"/>
    <w:rsid w:val="24543ACC"/>
    <w:rsid w:val="2BA17D73"/>
    <w:rsid w:val="306B6656"/>
    <w:rsid w:val="38220CE5"/>
    <w:rsid w:val="38577086"/>
    <w:rsid w:val="3A2D1145"/>
    <w:rsid w:val="4D771722"/>
    <w:rsid w:val="4EBE2F99"/>
    <w:rsid w:val="5208376E"/>
    <w:rsid w:val="55175A51"/>
    <w:rsid w:val="57514BBC"/>
    <w:rsid w:val="5886458B"/>
    <w:rsid w:val="591D2773"/>
    <w:rsid w:val="63150F9A"/>
    <w:rsid w:val="682D3FD2"/>
    <w:rsid w:val="77F372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laceholder Text"/>
    <w:basedOn w:val="7"/>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12E434-D6FC-4B64-A308-947FA61A3F0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675</Words>
  <Characters>839</Characters>
  <Lines>6</Lines>
  <Paragraphs>1</Paragraphs>
  <TotalTime>0</TotalTime>
  <ScaleCrop>false</ScaleCrop>
  <LinksUpToDate>false</LinksUpToDate>
  <CharactersWithSpaces>935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2023-10-22T03:41:00Z</dcterms:created>
  <dc:creator>微软用户</dc:creator>
  <cp:lastModifiedBy>文</cp:lastModifiedBy>
  <cp:lastPrinted>2023-04-16T01:31:00Z</cp:lastPrinted>
  <dcterms:modified xsi:type="dcterms:W3CDTF">2024-10-22T00:31:16Z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6DB88C1489824FDFAF896B9AFA952CF4</vt:lpwstr>
  </property>
</Properties>
</file>