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5DFB" w14:textId="77777777" w:rsidR="00092EF7" w:rsidRDefault="00000000">
      <w:pPr>
        <w:snapToGrid w:val="0"/>
        <w:ind w:firstLineChars="200" w:firstLine="420"/>
        <w:jc w:val="center"/>
        <w:rPr>
          <w:rFonts w:ascii="仿宋_GB2312" w:eastAsia="仿宋_GB2312" w:hAnsi="仿宋_GB2312" w:cs="仿宋_GB2312"/>
          <w:b/>
          <w:bCs/>
          <w:szCs w:val="21"/>
        </w:rPr>
      </w:pPr>
      <w:r>
        <w:rPr>
          <w:rFonts w:ascii="仿宋_GB2312" w:eastAsia="仿宋_GB2312" w:hAnsi="仿宋_GB2312" w:cs="仿宋_GB2312" w:hint="eastAsia"/>
          <w:b/>
          <w:bCs/>
          <w:szCs w:val="21"/>
        </w:rPr>
        <w:t>广东省高等教育自学考试《设计表达》课程考试大纲</w:t>
      </w:r>
    </w:p>
    <w:p w14:paraId="49F9237A" w14:textId="77777777" w:rsidR="00092EF7" w:rsidRDefault="00000000">
      <w:pPr>
        <w:snapToGrid w:val="0"/>
        <w:ind w:firstLineChars="200" w:firstLine="420"/>
        <w:jc w:val="center"/>
        <w:rPr>
          <w:rFonts w:ascii="仿宋_GB2312" w:eastAsia="仿宋_GB2312" w:hAnsi="仿宋_GB2312" w:cs="仿宋_GB2312"/>
          <w:b/>
          <w:bCs/>
          <w:szCs w:val="21"/>
        </w:rPr>
      </w:pPr>
      <w:r>
        <w:rPr>
          <w:rFonts w:ascii="仿宋_GB2312" w:eastAsia="仿宋_GB2312" w:hAnsi="仿宋_GB2312" w:cs="仿宋_GB2312" w:hint="eastAsia"/>
          <w:b/>
          <w:bCs/>
          <w:szCs w:val="21"/>
        </w:rPr>
        <w:t>（课程代码：14167）</w:t>
      </w:r>
    </w:p>
    <w:p w14:paraId="75D2E01E" w14:textId="77777777" w:rsidR="00092EF7" w:rsidRDefault="00092EF7">
      <w:pPr>
        <w:snapToGrid w:val="0"/>
        <w:ind w:firstLineChars="200" w:firstLine="420"/>
        <w:jc w:val="center"/>
        <w:rPr>
          <w:rFonts w:ascii="仿宋_GB2312" w:eastAsia="仿宋_GB2312" w:hAnsi="仿宋_GB2312" w:cs="仿宋_GB2312"/>
          <w:b/>
          <w:bCs/>
          <w:szCs w:val="21"/>
        </w:rPr>
      </w:pPr>
    </w:p>
    <w:p w14:paraId="35ECC387"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b/>
          <w:bCs/>
          <w:szCs w:val="21"/>
        </w:rPr>
        <w:t>目录</w:t>
      </w:r>
    </w:p>
    <w:p w14:paraId="5715E9C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Ⅰ  课程性质与课程目标</w:t>
      </w:r>
    </w:p>
    <w:p w14:paraId="7EB6926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Ⅱ  考核目标</w:t>
      </w:r>
    </w:p>
    <w:p w14:paraId="3D1B0662" w14:textId="77777777" w:rsidR="00092EF7" w:rsidRDefault="00000000">
      <w:pPr>
        <w:snapToGrid w:val="0"/>
        <w:ind w:firstLineChars="200" w:firstLine="420"/>
        <w:rPr>
          <w:rFonts w:ascii="仿宋_GB2312" w:eastAsia="仿宋_GB2312" w:hAnsi="仿宋_GB2312" w:cs="仿宋_GB2312"/>
          <w:color w:val="FF0000"/>
          <w:szCs w:val="21"/>
        </w:rPr>
      </w:pPr>
      <w:r>
        <w:rPr>
          <w:rFonts w:ascii="仿宋_GB2312" w:eastAsia="仿宋_GB2312" w:hAnsi="仿宋_GB2312" w:cs="仿宋_GB2312" w:hint="eastAsia"/>
          <w:szCs w:val="21"/>
        </w:rPr>
        <w:t>Ⅲ  课程内容与考核要求</w:t>
      </w:r>
    </w:p>
    <w:p w14:paraId="50D0A16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Ⅳ  关于大纲的说明与考核实施要求</w:t>
      </w:r>
    </w:p>
    <w:p w14:paraId="6ECD21BE"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附录 题型举例</w:t>
      </w:r>
    </w:p>
    <w:p w14:paraId="4E9465BE" w14:textId="77777777" w:rsidR="00092EF7" w:rsidRDefault="00092EF7">
      <w:pPr>
        <w:snapToGrid w:val="0"/>
        <w:ind w:firstLineChars="200" w:firstLine="420"/>
        <w:jc w:val="center"/>
        <w:rPr>
          <w:rFonts w:ascii="仿宋_GB2312" w:eastAsia="仿宋_GB2312" w:hAnsi="仿宋_GB2312" w:cs="仿宋_GB2312"/>
          <w:b/>
          <w:bCs/>
          <w:szCs w:val="21"/>
        </w:rPr>
      </w:pPr>
    </w:p>
    <w:p w14:paraId="2E0FFD45" w14:textId="77777777" w:rsidR="00092EF7" w:rsidRDefault="00000000">
      <w:pPr>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Ⅰ  课程性质与课程目标</w:t>
      </w:r>
    </w:p>
    <w:p w14:paraId="3674125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一、课程性质和特点</w:t>
      </w:r>
    </w:p>
    <w:p w14:paraId="1DF0580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门课程深入讲解了设计表达的内涵、特性及与产品开发流程之间的关系，并通过丰富的案例、多角度地讲解了设计表达的表现技巧及相关形体塑造的方法。使我们能够系统的理解并掌握设计表达的重要意义和表现方法，并帮助我们建立</w:t>
      </w:r>
      <w:proofErr w:type="gramStart"/>
      <w:r>
        <w:rPr>
          <w:rFonts w:ascii="仿宋_GB2312" w:eastAsia="仿宋_GB2312" w:hAnsi="仿宋_GB2312" w:cs="仿宋_GB2312" w:hint="eastAsia"/>
          <w:szCs w:val="21"/>
        </w:rPr>
        <w:t>起设计</w:t>
      </w:r>
      <w:proofErr w:type="gramEnd"/>
      <w:r>
        <w:rPr>
          <w:rFonts w:ascii="仿宋_GB2312" w:eastAsia="仿宋_GB2312" w:hAnsi="仿宋_GB2312" w:cs="仿宋_GB2312" w:hint="eastAsia"/>
          <w:szCs w:val="21"/>
        </w:rPr>
        <w:t>表达在抽象概念和设计产出之间担当着桥梁作用的观念，而不再将设计表达仅仅看作是一种纯粹的绘画技能。</w:t>
      </w:r>
    </w:p>
    <w:p w14:paraId="286D651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二、课程目标</w:t>
      </w:r>
    </w:p>
    <w:p w14:paraId="07CB58A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1、设计表达除了展示一种纯粹的绘画技能之外，它还是帮助我们理解从抽象概念到具体的设计产出。</w:t>
      </w:r>
    </w:p>
    <w:p w14:paraId="1F14D4D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2、课程内容上中西兼顾、理论与实践密切结合，以多项国内外设计项目实例展开叙述，展示先进的设计表达理念和经验。</w:t>
      </w:r>
    </w:p>
    <w:p w14:paraId="7D35EB3B" w14:textId="77777777" w:rsidR="00092EF7" w:rsidRDefault="00000000">
      <w:pPr>
        <w:snapToGrid w:val="0"/>
        <w:ind w:firstLine="555"/>
        <w:rPr>
          <w:rFonts w:ascii="仿宋_GB2312" w:eastAsia="仿宋_GB2312" w:hAnsi="仿宋_GB2312" w:cs="仿宋_GB2312"/>
          <w:szCs w:val="21"/>
        </w:rPr>
      </w:pPr>
      <w:r>
        <w:rPr>
          <w:rFonts w:ascii="仿宋_GB2312" w:eastAsia="仿宋_GB2312" w:hAnsi="仿宋_GB2312" w:cs="仿宋_GB2312" w:hint="eastAsia"/>
          <w:szCs w:val="21"/>
        </w:rPr>
        <w:t>三、与相关课程的联系与区别</w:t>
      </w:r>
    </w:p>
    <w:p w14:paraId="188E404E"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课程是艺术设计类专业的基础课程。设计表达的内容和任务决定了它必须以网页设计、计算机辅助图形设计等学科提供学习的必要基础绘画技能，同时它又要和设计基础、设计美学、艺术概论等学科有着密切的联系。</w:t>
      </w:r>
    </w:p>
    <w:p w14:paraId="2445AC35" w14:textId="77777777" w:rsidR="00092EF7" w:rsidRDefault="00000000">
      <w:pPr>
        <w:numPr>
          <w:ilvl w:val="0"/>
          <w:numId w:val="1"/>
        </w:numPr>
        <w:snapToGrid w:val="0"/>
        <w:ind w:firstLine="555"/>
        <w:rPr>
          <w:rFonts w:ascii="仿宋_GB2312" w:eastAsia="仿宋_GB2312" w:hAnsi="仿宋_GB2312" w:cs="仿宋_GB2312"/>
          <w:szCs w:val="21"/>
        </w:rPr>
      </w:pPr>
      <w:r>
        <w:rPr>
          <w:rFonts w:ascii="仿宋_GB2312" w:eastAsia="仿宋_GB2312" w:hAnsi="仿宋_GB2312" w:cs="仿宋_GB2312" w:hint="eastAsia"/>
          <w:szCs w:val="21"/>
        </w:rPr>
        <w:t>课程的重点和难点</w:t>
      </w:r>
    </w:p>
    <w:p w14:paraId="1FEC25C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重点：效果图表达的形成和表现技巧。</w:t>
      </w:r>
    </w:p>
    <w:p w14:paraId="41710EF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难点：手绘草图的创意，如何满足此对设计实践需求，将图纸表达完善。电脑制图中的光影、材质及艺术表现力的处理。</w:t>
      </w:r>
    </w:p>
    <w:p w14:paraId="29570560" w14:textId="77777777" w:rsidR="00092EF7" w:rsidRDefault="00092EF7">
      <w:pPr>
        <w:snapToGrid w:val="0"/>
        <w:ind w:firstLineChars="200" w:firstLine="420"/>
        <w:rPr>
          <w:rFonts w:ascii="仿宋_GB2312" w:eastAsia="仿宋_GB2312" w:hAnsi="仿宋_GB2312" w:cs="仿宋_GB2312"/>
          <w:szCs w:val="21"/>
        </w:rPr>
      </w:pPr>
    </w:p>
    <w:p w14:paraId="0A75F4D7" w14:textId="77777777" w:rsidR="00092EF7" w:rsidRDefault="00000000">
      <w:pPr>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Ⅱ  考核目标</w:t>
      </w:r>
    </w:p>
    <w:p w14:paraId="6A3EA21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本大纲在考核目标中，按照识记、领会和应用三个层次规定其应达到的能力层次要求。三个能力层次是递进关系，</w:t>
      </w:r>
      <w:proofErr w:type="gramStart"/>
      <w:r>
        <w:rPr>
          <w:rFonts w:ascii="仿宋_GB2312" w:eastAsia="仿宋_GB2312" w:hAnsi="仿宋_GB2312" w:cs="仿宋_GB2312" w:hint="eastAsia"/>
          <w:szCs w:val="21"/>
        </w:rPr>
        <w:t>各能力</w:t>
      </w:r>
      <w:proofErr w:type="gramEnd"/>
      <w:r>
        <w:rPr>
          <w:rFonts w:ascii="仿宋_GB2312" w:eastAsia="仿宋_GB2312" w:hAnsi="仿宋_GB2312" w:cs="仿宋_GB2312" w:hint="eastAsia"/>
          <w:szCs w:val="21"/>
        </w:rPr>
        <w:t>层次的含义是：</w:t>
      </w:r>
    </w:p>
    <w:p w14:paraId="7FDD18D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本大纲在考核目标中，按照“识记”、“领会”、“应用”三个能力层次规定其应达到的能力层次要求。</w:t>
      </w:r>
      <w:proofErr w:type="gramStart"/>
      <w:r>
        <w:rPr>
          <w:rFonts w:ascii="仿宋_GB2312" w:eastAsia="仿宋_GB2312" w:hAnsi="仿宋_GB2312" w:cs="仿宋_GB2312" w:hint="eastAsia"/>
          <w:szCs w:val="21"/>
        </w:rPr>
        <w:t>各能力</w:t>
      </w:r>
      <w:proofErr w:type="gramEnd"/>
      <w:r>
        <w:rPr>
          <w:rFonts w:ascii="仿宋_GB2312" w:eastAsia="仿宋_GB2312" w:hAnsi="仿宋_GB2312" w:cs="仿宋_GB2312" w:hint="eastAsia"/>
          <w:szCs w:val="21"/>
        </w:rPr>
        <w:t xml:space="preserve">层次为递进等级关系，后者必须建立在前者的基础上，其含义是： </w:t>
      </w:r>
    </w:p>
    <w:p w14:paraId="600F74D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识记：能知道有关的名词、概念、知识的含义，并能正确认识和表述，是低层次的要求。</w:t>
      </w:r>
    </w:p>
    <w:p w14:paraId="4C02D39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领会：在识记的基础上，能全面把握基本概念、基本原理、基本方法，能掌握有关概念、原理、方法的区别与联系，是较高层次的要求。</w:t>
      </w:r>
    </w:p>
    <w:p w14:paraId="237C467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应用：在领会的基础上，能运用基本概念、基本原理、基本方法联系学过的多个知识点分析和解决有关的理论问题和实际问题，是最高层次的要求。</w:t>
      </w:r>
    </w:p>
    <w:p w14:paraId="71A8DBD6" w14:textId="77777777" w:rsidR="00092EF7" w:rsidRDefault="00092EF7">
      <w:pPr>
        <w:snapToGrid w:val="0"/>
        <w:ind w:firstLineChars="200" w:firstLine="420"/>
        <w:jc w:val="center"/>
        <w:rPr>
          <w:rFonts w:ascii="仿宋_GB2312" w:eastAsia="仿宋_GB2312" w:hAnsi="仿宋_GB2312" w:cs="仿宋_GB2312"/>
          <w:szCs w:val="21"/>
        </w:rPr>
      </w:pPr>
    </w:p>
    <w:p w14:paraId="760683F2" w14:textId="77777777" w:rsidR="00092EF7" w:rsidRDefault="00000000">
      <w:pPr>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Ⅲ  课程内容与考核要求</w:t>
      </w:r>
    </w:p>
    <w:p w14:paraId="7300C7A2"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第一章    设计表达的语言</w:t>
      </w:r>
    </w:p>
    <w:p w14:paraId="7FF7814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552711C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通过本章的学习，应对产品的设计表达有一个基本的了解，熟悉设计表达的特点、分类和应用。掌握草图的手绘和设计流程。</w:t>
      </w:r>
    </w:p>
    <w:p w14:paraId="56E2C84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二、课程内容</w:t>
      </w:r>
    </w:p>
    <w:p w14:paraId="552B223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1.1 产品设计表达的概念和意义</w:t>
      </w:r>
    </w:p>
    <w:p w14:paraId="72CC7590"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1.1.1  产品设计表达的概念</w:t>
      </w:r>
    </w:p>
    <w:p w14:paraId="28C7107F"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1.1.2  产品设计表达的意义</w:t>
      </w:r>
    </w:p>
    <w:p w14:paraId="77D0A34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1.2 设计师的语言</w:t>
      </w:r>
    </w:p>
    <w:p w14:paraId="1A152ED8"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1.2.1  设计领域的沟通工具</w:t>
      </w:r>
    </w:p>
    <w:p w14:paraId="39B2C9BE"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1.2.2  产品设计表达的特点</w:t>
      </w:r>
    </w:p>
    <w:p w14:paraId="1AF25D7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1.3 产品设计表达的分类与应用</w:t>
      </w:r>
    </w:p>
    <w:p w14:paraId="5EF92142"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1.3.1  概念性草图</w:t>
      </w:r>
    </w:p>
    <w:p w14:paraId="167DB832"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1.3.2  理解性草图</w:t>
      </w:r>
    </w:p>
    <w:p w14:paraId="70101A1F"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1.3.3  结构性草图</w:t>
      </w:r>
    </w:p>
    <w:p w14:paraId="34C70DCD"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1.3.4  效果草图</w:t>
      </w:r>
    </w:p>
    <w:p w14:paraId="536932B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1.4 手绘与设计流程</w:t>
      </w:r>
    </w:p>
    <w:p w14:paraId="05CC382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0693128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（一）产品设计表达的概念和意义（一般）</w:t>
      </w:r>
    </w:p>
    <w:p w14:paraId="533B71A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识记：产品设计表达的概念、意义。</w:t>
      </w:r>
    </w:p>
    <w:p w14:paraId="2A8409F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（二）设计师的语言（一般）</w:t>
      </w:r>
    </w:p>
    <w:p w14:paraId="267FB4C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领会：设计表达的特点、设计的沟通工具。</w:t>
      </w:r>
    </w:p>
    <w:p w14:paraId="0C46306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（三）产品设计表达的分类与应用（重点）</w:t>
      </w:r>
    </w:p>
    <w:p w14:paraId="7BBB7C3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应用：概念性、理解性、结构性和效果等草图</w:t>
      </w:r>
    </w:p>
    <w:p w14:paraId="6298340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（四）手绘与设计流程（次重点）</w:t>
      </w:r>
    </w:p>
    <w:p w14:paraId="04119EE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应用：手绘与设计流程。</w:t>
      </w:r>
    </w:p>
    <w:p w14:paraId="3308F482"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7998DFB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重点：产品设计表达的分类与应用，熟悉：概念性、理解性、结构性和效果等草图。</w:t>
      </w:r>
    </w:p>
    <w:p w14:paraId="78CC3E8E"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难点：灵活运用手绘与设计流程。</w:t>
      </w:r>
    </w:p>
    <w:p w14:paraId="4E88D92D" w14:textId="77777777" w:rsidR="00092EF7" w:rsidRDefault="00092EF7">
      <w:pPr>
        <w:snapToGrid w:val="0"/>
        <w:ind w:firstLineChars="200" w:firstLine="420"/>
        <w:rPr>
          <w:rFonts w:ascii="仿宋_GB2312" w:eastAsia="仿宋_GB2312" w:hAnsi="仿宋_GB2312" w:cs="仿宋_GB2312"/>
          <w:szCs w:val="21"/>
        </w:rPr>
      </w:pPr>
    </w:p>
    <w:p w14:paraId="73007C78"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第二章    设计表达的载体</w:t>
      </w:r>
    </w:p>
    <w:p w14:paraId="74B401B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38B3196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通过本章的学习，了解不同的设计表达工具，掌握手绘工具和电脑辅助设计工具等对设计表达的影响，熟悉应用手绘工具和电脑辅助设计工具。</w:t>
      </w:r>
    </w:p>
    <w:p w14:paraId="49E286B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二、课程内容</w:t>
      </w:r>
    </w:p>
    <w:p w14:paraId="125715D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2.1 手绘工具</w:t>
      </w:r>
    </w:p>
    <w:p w14:paraId="31ECA5A7"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2.1.1  笔类工具</w:t>
      </w:r>
    </w:p>
    <w:p w14:paraId="5E9BD062"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2.1.2  纸类</w:t>
      </w:r>
    </w:p>
    <w:p w14:paraId="1A961BD7"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2.1.3  辅助工具</w:t>
      </w:r>
    </w:p>
    <w:p w14:paraId="0BB6D19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2.2 计算机辅助设计表达工具</w:t>
      </w:r>
    </w:p>
    <w:p w14:paraId="7F933018"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2.2.1  硬件</w:t>
      </w:r>
    </w:p>
    <w:p w14:paraId="4CA9094C"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2.2.2  软件</w:t>
      </w:r>
    </w:p>
    <w:p w14:paraId="0BD676C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3D96DBA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（一）手绘工具（重点）</w:t>
      </w:r>
    </w:p>
    <w:p w14:paraId="5F74593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应用：笔类工具、纸类工具和辅助工具。</w:t>
      </w:r>
    </w:p>
    <w:p w14:paraId="0D8FC03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（二）计算机辅助设计表达工具（重点）</w:t>
      </w:r>
    </w:p>
    <w:p w14:paraId="5ECDD60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应用：硬件选配、软件的操作。</w:t>
      </w:r>
    </w:p>
    <w:p w14:paraId="19986811"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06DD1D6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重点：手绘工具和计算机辅助设计表达工具，熟悉：笔类工具、纸类工具和辅助工具、硬件选配、软件的操作。</w:t>
      </w:r>
    </w:p>
    <w:p w14:paraId="6BBCFDD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难点：灵活运用手绘工具和计算机辅助设计表达工具，针对不同的设计表达展开设计。</w:t>
      </w:r>
    </w:p>
    <w:p w14:paraId="4C62CE49" w14:textId="77777777" w:rsidR="00092EF7" w:rsidRDefault="00092EF7">
      <w:pPr>
        <w:snapToGrid w:val="0"/>
        <w:ind w:firstLineChars="200" w:firstLine="420"/>
        <w:jc w:val="center"/>
        <w:rPr>
          <w:rFonts w:ascii="仿宋_GB2312" w:eastAsia="仿宋_GB2312" w:hAnsi="仿宋_GB2312" w:cs="仿宋_GB2312"/>
          <w:szCs w:val="21"/>
        </w:rPr>
      </w:pPr>
    </w:p>
    <w:p w14:paraId="0590B4BE"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第三章    设计表达的基础</w:t>
      </w:r>
    </w:p>
    <w:p w14:paraId="1B7297E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163AE35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通过本章的学习，应掌握各种设计表达的基础要素：透视、视角、辅助说明和表现要素。熟悉并且应用设计表达基础要素，强化设计构图能力。</w:t>
      </w:r>
    </w:p>
    <w:p w14:paraId="6C31748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二、课程内容</w:t>
      </w:r>
    </w:p>
    <w:p w14:paraId="4051122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 透视</w:t>
      </w:r>
    </w:p>
    <w:p w14:paraId="013310CF"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3.1.1  透视原理</w:t>
      </w:r>
    </w:p>
    <w:p w14:paraId="1F187B1E"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3.1.2  简单形体的透视</w:t>
      </w:r>
    </w:p>
    <w:p w14:paraId="0937DDEF"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3.1.3  复杂形体的透视</w:t>
      </w:r>
    </w:p>
    <w:p w14:paraId="3F49C2F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3.2 视角</w:t>
      </w:r>
    </w:p>
    <w:p w14:paraId="0BCA966E"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3.3 其他辅助说明形式</w:t>
      </w:r>
    </w:p>
    <w:p w14:paraId="75F9B766"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3.3.1  指示箭头</w:t>
      </w:r>
    </w:p>
    <w:p w14:paraId="07FDC22A"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3.3.2  参照物</w:t>
      </w:r>
    </w:p>
    <w:p w14:paraId="2D0E6D5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3.4 表现要素</w:t>
      </w:r>
    </w:p>
    <w:p w14:paraId="1D85A9A1"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3.4.1  线、面、体</w:t>
      </w:r>
    </w:p>
    <w:p w14:paraId="2BC9451B"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3.4.2  光、影、反射</w:t>
      </w:r>
    </w:p>
    <w:p w14:paraId="636CD873" w14:textId="77777777" w:rsidR="00092EF7" w:rsidRDefault="00000000">
      <w:pPr>
        <w:snapToGrid w:val="0"/>
        <w:ind w:firstLineChars="374" w:firstLine="785"/>
        <w:rPr>
          <w:rFonts w:ascii="仿宋_GB2312" w:eastAsia="仿宋_GB2312" w:hAnsi="仿宋_GB2312" w:cs="仿宋_GB2312"/>
          <w:szCs w:val="21"/>
        </w:rPr>
      </w:pPr>
      <w:r>
        <w:rPr>
          <w:rFonts w:ascii="仿宋_GB2312" w:eastAsia="仿宋_GB2312" w:hAnsi="仿宋_GB2312" w:cs="仿宋_GB2312" w:hint="eastAsia"/>
          <w:szCs w:val="21"/>
        </w:rPr>
        <w:t>3.4.3  质感、肌理、色彩</w:t>
      </w:r>
    </w:p>
    <w:p w14:paraId="61B8A41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037C114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（一）透视（一般）</w:t>
      </w:r>
    </w:p>
    <w:p w14:paraId="49AF7B2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应用：一点透视、两点透视、三点透视和多点透视。</w:t>
      </w:r>
    </w:p>
    <w:p w14:paraId="6C136C8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（二）视角（一般）</w:t>
      </w:r>
    </w:p>
    <w:p w14:paraId="4036E16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识记：视角。</w:t>
      </w:r>
    </w:p>
    <w:p w14:paraId="1471804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（三）其他辅助说明形式（一般）</w:t>
      </w:r>
    </w:p>
    <w:p w14:paraId="61534AE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识记：指示箭头、参照物。</w:t>
      </w:r>
    </w:p>
    <w:p w14:paraId="536C9C3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（四）表现要素（重点）</w:t>
      </w:r>
    </w:p>
    <w:p w14:paraId="08B0C05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领会：线、面、体、质感、肌理、色彩。</w:t>
      </w:r>
    </w:p>
    <w:p w14:paraId="7FCFC0D0"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6024EB6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重点：掌握表现要素，熟悉：线、面、体、质感、肌理、色彩等的基本特征。</w:t>
      </w:r>
    </w:p>
    <w:p w14:paraId="036730A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难点：灵活运用表现要素对视觉传达展开设计应用。</w:t>
      </w:r>
    </w:p>
    <w:p w14:paraId="28C30C0E" w14:textId="77777777" w:rsidR="00092EF7" w:rsidRDefault="00092EF7">
      <w:pPr>
        <w:snapToGrid w:val="0"/>
        <w:ind w:firstLineChars="200" w:firstLine="420"/>
        <w:jc w:val="center"/>
        <w:rPr>
          <w:rFonts w:ascii="仿宋_GB2312" w:eastAsia="仿宋_GB2312" w:hAnsi="仿宋_GB2312" w:cs="仿宋_GB2312"/>
          <w:szCs w:val="21"/>
        </w:rPr>
      </w:pPr>
    </w:p>
    <w:p w14:paraId="5DB23932"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第四章    设计表达的内涵</w:t>
      </w:r>
    </w:p>
    <w:p w14:paraId="1949114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232889A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通过本章的学习，应了解发想法，并且深入掌握草图的作用、功能及分类，熟悉运用草图来辅助完成设计表达工作。</w:t>
      </w:r>
    </w:p>
    <w:p w14:paraId="6536136D" w14:textId="77777777" w:rsidR="00092EF7" w:rsidRDefault="00000000">
      <w:pPr>
        <w:numPr>
          <w:ilvl w:val="0"/>
          <w:numId w:val="2"/>
        </w:num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课程内容</w:t>
      </w:r>
    </w:p>
    <w:p w14:paraId="6694202D" w14:textId="77777777" w:rsidR="00092EF7" w:rsidRDefault="00000000">
      <w:pPr>
        <w:snapToGrid w:val="0"/>
        <w:ind w:firstLine="570"/>
        <w:rPr>
          <w:rFonts w:ascii="仿宋_GB2312" w:eastAsia="仿宋_GB2312" w:hAnsi="仿宋_GB2312" w:cs="仿宋_GB2312"/>
          <w:szCs w:val="21"/>
        </w:rPr>
      </w:pPr>
      <w:r>
        <w:rPr>
          <w:rFonts w:ascii="仿宋_GB2312" w:eastAsia="仿宋_GB2312" w:hAnsi="仿宋_GB2312" w:cs="仿宋_GB2312" w:hint="eastAsia"/>
          <w:szCs w:val="21"/>
        </w:rPr>
        <w:t>4.1 概念草图</w:t>
      </w:r>
    </w:p>
    <w:p w14:paraId="5BA3478C" w14:textId="77777777" w:rsidR="00092EF7" w:rsidRDefault="00000000">
      <w:pPr>
        <w:snapToGrid w:val="0"/>
        <w:ind w:firstLine="989"/>
        <w:rPr>
          <w:rFonts w:ascii="仿宋_GB2312" w:eastAsia="仿宋_GB2312" w:hAnsi="仿宋_GB2312" w:cs="仿宋_GB2312"/>
          <w:szCs w:val="21"/>
        </w:rPr>
      </w:pPr>
      <w:r>
        <w:rPr>
          <w:rFonts w:ascii="仿宋_GB2312" w:eastAsia="仿宋_GB2312" w:hAnsi="仿宋_GB2312" w:cs="仿宋_GB2312" w:hint="eastAsia"/>
          <w:szCs w:val="21"/>
        </w:rPr>
        <w:t>4.1.1  草图的概念</w:t>
      </w:r>
    </w:p>
    <w:p w14:paraId="21FCA09A" w14:textId="77777777" w:rsidR="00092EF7" w:rsidRDefault="00000000">
      <w:pPr>
        <w:snapToGrid w:val="0"/>
        <w:ind w:firstLine="989"/>
        <w:rPr>
          <w:rFonts w:ascii="仿宋_GB2312" w:eastAsia="仿宋_GB2312" w:hAnsi="仿宋_GB2312" w:cs="仿宋_GB2312"/>
          <w:szCs w:val="21"/>
        </w:rPr>
      </w:pPr>
      <w:r>
        <w:rPr>
          <w:rFonts w:ascii="仿宋_GB2312" w:eastAsia="仿宋_GB2312" w:hAnsi="仿宋_GB2312" w:cs="仿宋_GB2312" w:hint="eastAsia"/>
          <w:szCs w:val="21"/>
        </w:rPr>
        <w:t>4.1.2  草图的作用与功能</w:t>
      </w:r>
    </w:p>
    <w:p w14:paraId="73A9E625" w14:textId="77777777" w:rsidR="00092EF7" w:rsidRDefault="00000000">
      <w:pPr>
        <w:snapToGrid w:val="0"/>
        <w:ind w:firstLine="989"/>
        <w:rPr>
          <w:rFonts w:ascii="仿宋_GB2312" w:eastAsia="仿宋_GB2312" w:hAnsi="仿宋_GB2312" w:cs="仿宋_GB2312"/>
          <w:szCs w:val="21"/>
        </w:rPr>
      </w:pPr>
      <w:r>
        <w:rPr>
          <w:rFonts w:ascii="仿宋_GB2312" w:eastAsia="仿宋_GB2312" w:hAnsi="仿宋_GB2312" w:cs="仿宋_GB2312" w:hint="eastAsia"/>
          <w:szCs w:val="21"/>
        </w:rPr>
        <w:t>4.1.3  草图的分类</w:t>
      </w:r>
    </w:p>
    <w:p w14:paraId="57EF0E1B" w14:textId="77777777" w:rsidR="00092EF7" w:rsidRDefault="00000000">
      <w:pPr>
        <w:snapToGrid w:val="0"/>
        <w:ind w:firstLine="570"/>
        <w:rPr>
          <w:rFonts w:ascii="仿宋_GB2312" w:eastAsia="仿宋_GB2312" w:hAnsi="仿宋_GB2312" w:cs="仿宋_GB2312"/>
          <w:szCs w:val="21"/>
        </w:rPr>
      </w:pPr>
      <w:r>
        <w:rPr>
          <w:rFonts w:ascii="仿宋_GB2312" w:eastAsia="仿宋_GB2312" w:hAnsi="仿宋_GB2312" w:cs="仿宋_GB2312" w:hint="eastAsia"/>
          <w:szCs w:val="21"/>
        </w:rPr>
        <w:t>4.2 形态发想</w:t>
      </w:r>
    </w:p>
    <w:p w14:paraId="08FCF49C" w14:textId="77777777" w:rsidR="00092EF7" w:rsidRDefault="00000000">
      <w:pPr>
        <w:snapToGrid w:val="0"/>
        <w:ind w:firstLine="989"/>
        <w:rPr>
          <w:rFonts w:ascii="仿宋_GB2312" w:eastAsia="仿宋_GB2312" w:hAnsi="仿宋_GB2312" w:cs="仿宋_GB2312"/>
          <w:szCs w:val="21"/>
        </w:rPr>
      </w:pPr>
      <w:r>
        <w:rPr>
          <w:rFonts w:ascii="仿宋_GB2312" w:eastAsia="仿宋_GB2312" w:hAnsi="仿宋_GB2312" w:cs="仿宋_GB2312" w:hint="eastAsia"/>
          <w:szCs w:val="21"/>
        </w:rPr>
        <w:t>4.2.1  发想法</w:t>
      </w:r>
    </w:p>
    <w:p w14:paraId="6B40AD2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2B3ECE7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（一）概念草图（重点）</w:t>
      </w:r>
    </w:p>
    <w:p w14:paraId="238462D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领会：草图的作用、功能、分类。</w:t>
      </w:r>
    </w:p>
    <w:p w14:paraId="28D1566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（二）形态发想（一般）</w:t>
      </w:r>
    </w:p>
    <w:p w14:paraId="01ECAE6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识记：发想法。</w:t>
      </w:r>
    </w:p>
    <w:p w14:paraId="6FEA3D23"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083864A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重点：掌握概念草图，熟悉：草图的作用、功能、分类。</w:t>
      </w:r>
    </w:p>
    <w:p w14:paraId="767910B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难点：理解形态发想，运用发想法融入到设计表达中去。</w:t>
      </w:r>
    </w:p>
    <w:p w14:paraId="1D83E87F" w14:textId="77777777" w:rsidR="00092EF7" w:rsidRDefault="00092EF7">
      <w:pPr>
        <w:snapToGrid w:val="0"/>
        <w:ind w:firstLine="570"/>
        <w:rPr>
          <w:rFonts w:ascii="仿宋_GB2312" w:eastAsia="仿宋_GB2312" w:hAnsi="仿宋_GB2312" w:cs="仿宋_GB2312"/>
          <w:szCs w:val="21"/>
        </w:rPr>
      </w:pPr>
    </w:p>
    <w:p w14:paraId="687B0EB3" w14:textId="77777777" w:rsidR="00092EF7" w:rsidRDefault="00092EF7">
      <w:pPr>
        <w:snapToGrid w:val="0"/>
        <w:rPr>
          <w:rFonts w:ascii="仿宋_GB2312" w:eastAsia="仿宋_GB2312" w:hAnsi="仿宋_GB2312" w:cs="仿宋_GB2312"/>
          <w:szCs w:val="21"/>
        </w:rPr>
      </w:pPr>
    </w:p>
    <w:p w14:paraId="53EFDC91"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第五章    设计表达的方法</w:t>
      </w:r>
    </w:p>
    <w:p w14:paraId="33ED83F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39EC53A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通过本章的学习，熟悉应用手工绘制草图来完成各种不同产品的设计表达工作。</w:t>
      </w:r>
    </w:p>
    <w:p w14:paraId="3A52EF7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二、课程内容</w:t>
      </w:r>
    </w:p>
    <w:p w14:paraId="1ABA478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5.1 咖啡机</w:t>
      </w:r>
    </w:p>
    <w:p w14:paraId="7756096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5.2 透明材质</w:t>
      </w:r>
      <w:proofErr w:type="gramStart"/>
      <w:r>
        <w:rPr>
          <w:rFonts w:ascii="仿宋_GB2312" w:eastAsia="仿宋_GB2312" w:hAnsi="仿宋_GB2312" w:cs="仿宋_GB2312" w:hint="eastAsia"/>
          <w:szCs w:val="21"/>
        </w:rPr>
        <w:t>储物盒</w:t>
      </w:r>
      <w:proofErr w:type="gramEnd"/>
      <w:r>
        <w:rPr>
          <w:rFonts w:ascii="仿宋_GB2312" w:eastAsia="仿宋_GB2312" w:hAnsi="仿宋_GB2312" w:cs="仿宋_GB2312" w:hint="eastAsia"/>
          <w:szCs w:val="21"/>
        </w:rPr>
        <w:t>——底色高光法</w:t>
      </w:r>
    </w:p>
    <w:p w14:paraId="3AB4E4E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 电动切割机</w:t>
      </w:r>
    </w:p>
    <w:p w14:paraId="48BE5C3E"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5.4 机器人手臂</w:t>
      </w:r>
    </w:p>
    <w:p w14:paraId="49E586B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056D422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（一）咖啡机（一般）</w:t>
      </w:r>
    </w:p>
    <w:p w14:paraId="4B8F32F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领会：透视绘画原理。</w:t>
      </w:r>
    </w:p>
    <w:p w14:paraId="4FA44B4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（二）透明材质储物盒（次重点）</w:t>
      </w:r>
    </w:p>
    <w:p w14:paraId="6CE80F0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应用：底色高光法。</w:t>
      </w:r>
    </w:p>
    <w:p w14:paraId="1D95302D" w14:textId="77777777" w:rsidR="00092EF7" w:rsidRDefault="00000000">
      <w:pPr>
        <w:numPr>
          <w:ilvl w:val="0"/>
          <w:numId w:val="3"/>
        </w:num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电动切割机（一般）</w:t>
      </w:r>
    </w:p>
    <w:p w14:paraId="7F65DD79" w14:textId="77777777" w:rsidR="00092EF7" w:rsidRDefault="00000000">
      <w:pPr>
        <w:snapToGrid w:val="0"/>
        <w:ind w:firstLine="420"/>
        <w:rPr>
          <w:rFonts w:ascii="仿宋_GB2312" w:eastAsia="仿宋_GB2312" w:hAnsi="仿宋_GB2312" w:cs="仿宋_GB2312"/>
          <w:szCs w:val="21"/>
        </w:rPr>
      </w:pPr>
      <w:r>
        <w:rPr>
          <w:rFonts w:ascii="仿宋_GB2312" w:eastAsia="仿宋_GB2312" w:hAnsi="仿宋_GB2312" w:cs="仿宋_GB2312" w:hint="eastAsia"/>
          <w:szCs w:val="21"/>
        </w:rPr>
        <w:t>领会：处理结构之间的连接关系；</w:t>
      </w:r>
      <w:proofErr w:type="gramStart"/>
      <w:r>
        <w:rPr>
          <w:rFonts w:ascii="仿宋_GB2312" w:eastAsia="仿宋_GB2312" w:hAnsi="仿宋_GB2312" w:cs="仿宋_GB2312" w:hint="eastAsia"/>
          <w:szCs w:val="21"/>
        </w:rPr>
        <w:t>刻画分模线</w:t>
      </w:r>
      <w:proofErr w:type="gramEnd"/>
      <w:r>
        <w:rPr>
          <w:rFonts w:ascii="仿宋_GB2312" w:eastAsia="仿宋_GB2312" w:hAnsi="仿宋_GB2312" w:cs="仿宋_GB2312" w:hint="eastAsia"/>
          <w:szCs w:val="21"/>
        </w:rPr>
        <w:t>。</w:t>
      </w:r>
    </w:p>
    <w:p w14:paraId="01EE74D4" w14:textId="77777777" w:rsidR="00092EF7" w:rsidRDefault="00000000">
      <w:pPr>
        <w:numPr>
          <w:ilvl w:val="0"/>
          <w:numId w:val="3"/>
        </w:num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机器人手臂（一般）</w:t>
      </w:r>
    </w:p>
    <w:p w14:paraId="3404A4E2" w14:textId="77777777" w:rsidR="00092EF7" w:rsidRDefault="00000000">
      <w:pPr>
        <w:snapToGrid w:val="0"/>
        <w:ind w:firstLine="420"/>
        <w:rPr>
          <w:rFonts w:ascii="仿宋_GB2312" w:eastAsia="仿宋_GB2312" w:hAnsi="仿宋_GB2312" w:cs="仿宋_GB2312"/>
          <w:szCs w:val="21"/>
        </w:rPr>
      </w:pPr>
      <w:r>
        <w:rPr>
          <w:rFonts w:ascii="仿宋_GB2312" w:eastAsia="仿宋_GB2312" w:hAnsi="仿宋_GB2312" w:cs="仿宋_GB2312" w:hint="eastAsia"/>
          <w:szCs w:val="21"/>
        </w:rPr>
        <w:t>领会：解析人体的廓形；交替画出手臂的廓形。</w:t>
      </w:r>
    </w:p>
    <w:p w14:paraId="313650F7"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0BCCDC9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重点：掌握不同物品手绘特点，采用不同的方式来完成手工草图的绘制。</w:t>
      </w:r>
    </w:p>
    <w:p w14:paraId="4D36491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难点：透明材质</w:t>
      </w:r>
      <w:proofErr w:type="gramStart"/>
      <w:r>
        <w:rPr>
          <w:rFonts w:ascii="仿宋_GB2312" w:eastAsia="仿宋_GB2312" w:hAnsi="仿宋_GB2312" w:cs="仿宋_GB2312" w:hint="eastAsia"/>
          <w:szCs w:val="21"/>
        </w:rPr>
        <w:t>储物盒的</w:t>
      </w:r>
      <w:proofErr w:type="gramEnd"/>
      <w:r>
        <w:rPr>
          <w:rFonts w:ascii="仿宋_GB2312" w:eastAsia="仿宋_GB2312" w:hAnsi="仿宋_GB2312" w:cs="仿宋_GB2312" w:hint="eastAsia"/>
          <w:szCs w:val="21"/>
        </w:rPr>
        <w:t>手工草图绘制，试用底色高光法重现物品。</w:t>
      </w:r>
    </w:p>
    <w:p w14:paraId="369DF954" w14:textId="77777777" w:rsidR="00092EF7" w:rsidRDefault="00092EF7">
      <w:pPr>
        <w:snapToGrid w:val="0"/>
        <w:ind w:firstLine="570"/>
        <w:rPr>
          <w:rFonts w:ascii="仿宋_GB2312" w:eastAsia="仿宋_GB2312" w:hAnsi="仿宋_GB2312" w:cs="仿宋_GB2312"/>
          <w:szCs w:val="21"/>
        </w:rPr>
      </w:pPr>
    </w:p>
    <w:p w14:paraId="6572D16C" w14:textId="77777777" w:rsidR="00092EF7" w:rsidRDefault="00092EF7">
      <w:pPr>
        <w:snapToGrid w:val="0"/>
        <w:ind w:firstLineChars="200" w:firstLine="420"/>
        <w:jc w:val="center"/>
        <w:rPr>
          <w:rFonts w:ascii="仿宋_GB2312" w:eastAsia="仿宋_GB2312" w:hAnsi="仿宋_GB2312" w:cs="仿宋_GB2312"/>
          <w:szCs w:val="21"/>
        </w:rPr>
      </w:pPr>
    </w:p>
    <w:p w14:paraId="00D90823" w14:textId="77777777" w:rsidR="00092EF7"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第六章    与计算机的融合</w:t>
      </w:r>
    </w:p>
    <w:p w14:paraId="2119C96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一、学习目的与要求</w:t>
      </w:r>
    </w:p>
    <w:p w14:paraId="7550787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通过本章的学习，熟悉应用计算机辅助软件进行电脑绘图，完成不同产品的设计表达工作。</w:t>
      </w:r>
    </w:p>
    <w:p w14:paraId="2B296E5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二、课程内容</w:t>
      </w:r>
    </w:p>
    <w:p w14:paraId="6F7AD56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6.1 汽车</w:t>
      </w:r>
    </w:p>
    <w:p w14:paraId="5659831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6.2 电动剃须刀</w:t>
      </w:r>
    </w:p>
    <w:p w14:paraId="43061B4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三、考核知识点与考核目标</w:t>
      </w:r>
    </w:p>
    <w:p w14:paraId="5C519FE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（一）汽车（一般）</w:t>
      </w:r>
    </w:p>
    <w:p w14:paraId="426F44D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领会：计算机辅助设计软件（CAD）的操作及应用。</w:t>
      </w:r>
    </w:p>
    <w:p w14:paraId="41B0DE9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应用：精确绘制汽车外观造型图以便设计者在空间中操纵、改变或者提升设计。</w:t>
      </w:r>
    </w:p>
    <w:p w14:paraId="39585C0A" w14:textId="77777777" w:rsidR="00092EF7" w:rsidRDefault="00000000">
      <w:pPr>
        <w:numPr>
          <w:ilvl w:val="0"/>
          <w:numId w:val="4"/>
        </w:num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电动剃须刀（一般）</w:t>
      </w:r>
    </w:p>
    <w:p w14:paraId="0DCFB7E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领会：三维模型及基础的三维场景绘制技术；应用几何造型；草图建模。</w:t>
      </w:r>
    </w:p>
    <w:p w14:paraId="74CF3C09" w14:textId="77777777" w:rsidR="00092EF7" w:rsidRDefault="00000000">
      <w:pPr>
        <w:snapToGrid w:val="0"/>
        <w:ind w:left="555"/>
        <w:rPr>
          <w:rFonts w:ascii="仿宋_GB2312" w:eastAsia="仿宋_GB2312" w:hAnsi="仿宋_GB2312" w:cs="仿宋_GB2312"/>
          <w:szCs w:val="21"/>
        </w:rPr>
      </w:pPr>
      <w:r>
        <w:rPr>
          <w:rFonts w:ascii="仿宋_GB2312" w:eastAsia="仿宋_GB2312" w:hAnsi="仿宋_GB2312" w:cs="仿宋_GB2312" w:hint="eastAsia"/>
          <w:szCs w:val="21"/>
        </w:rPr>
        <w:t>四、本章重点、难点</w:t>
      </w:r>
    </w:p>
    <w:p w14:paraId="4D3F0FA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重点：掌握不同物品具体特点，熟悉使用计算机辅助软件进行电脑绘图。</w:t>
      </w:r>
    </w:p>
    <w:p w14:paraId="0748EA4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难点：熟悉用计算机辅助软件（CAD），完成对应的电脑效果图，以便设计者在空间中操纵、改变或者研究设计。</w:t>
      </w:r>
    </w:p>
    <w:p w14:paraId="134FEFB3" w14:textId="77777777" w:rsidR="00092EF7" w:rsidRDefault="00092EF7">
      <w:pPr>
        <w:snapToGrid w:val="0"/>
        <w:ind w:firstLine="570"/>
        <w:rPr>
          <w:rFonts w:ascii="仿宋_GB2312" w:eastAsia="仿宋_GB2312" w:hAnsi="仿宋_GB2312" w:cs="仿宋_GB2312"/>
          <w:szCs w:val="21"/>
        </w:rPr>
      </w:pPr>
    </w:p>
    <w:p w14:paraId="7CAB53F4" w14:textId="77777777" w:rsidR="00092EF7" w:rsidRDefault="00000000">
      <w:pPr>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Ⅳ  关于大纲的说明与考核实施要求</w:t>
      </w:r>
    </w:p>
    <w:p w14:paraId="53C0C51B" w14:textId="77777777" w:rsidR="00092EF7" w:rsidRDefault="00000000">
      <w:pPr>
        <w:adjustRightInd w:val="0"/>
        <w:snapToGrid w:val="0"/>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一、自学考试大纲的目的和作用</w:t>
      </w:r>
    </w:p>
    <w:p w14:paraId="25567440"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课程自学考试大纲是根据专业自学考试计划的要求，结合自学考试的特点而确定。其目的是对个人自学、社会助学和课程考试命题进行指导和规定。</w:t>
      </w:r>
    </w:p>
    <w:p w14:paraId="00B6941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课程自学考试大纲明确了课程学习的内容以及深广度，规定了课程自学考试的范围和标</w:t>
      </w:r>
      <w:r>
        <w:rPr>
          <w:rFonts w:ascii="仿宋_GB2312" w:eastAsia="仿宋_GB2312" w:hAnsi="仿宋_GB2312" w:cs="仿宋_GB2312" w:hint="eastAsia"/>
          <w:szCs w:val="21"/>
        </w:rPr>
        <w:lastRenderedPageBreak/>
        <w:t>准。因此，它是编写自学考试教材和辅导书的依据，是社会助学组织进行自学辅导的依据，是自学者学习教材、掌握课程内容知识范围和程度的依据，也是进行自学考试命题的依据。</w:t>
      </w:r>
    </w:p>
    <w:p w14:paraId="775D06B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二、课程自学考试大纲与教材的关系</w:t>
      </w:r>
    </w:p>
    <w:p w14:paraId="46D7365B" w14:textId="77777777" w:rsidR="00092EF7" w:rsidRDefault="00000000">
      <w:pPr>
        <w:pStyle w:val="a3"/>
        <w:snapToGrid w:val="0"/>
        <w:spacing w:after="0"/>
        <w:ind w:leftChars="0" w:left="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14:paraId="494D15F4"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大纲与教材所体现的课程内容应基本一致；大纲里面的课程内容和考核知识点，教材里一般也要有。反过来教材里有的内容，大纲里就不一定体现。</w:t>
      </w:r>
    </w:p>
    <w:p w14:paraId="2D5003C3" w14:textId="77777777" w:rsidR="00092EF7" w:rsidRDefault="00000000">
      <w:pPr>
        <w:snapToGrid w:val="0"/>
        <w:ind w:firstLineChars="200" w:firstLine="420"/>
        <w:rPr>
          <w:rFonts w:ascii="仿宋_GB2312" w:eastAsia="仿宋_GB2312" w:hAnsi="仿宋_GB2312" w:cs="仿宋_GB2312"/>
          <w:szCs w:val="21"/>
          <w:lang w:val="en-GB"/>
        </w:rPr>
      </w:pPr>
      <w:r>
        <w:rPr>
          <w:rFonts w:ascii="仿宋_GB2312" w:eastAsia="仿宋_GB2312" w:hAnsi="仿宋_GB2312" w:cs="仿宋_GB2312" w:hint="eastAsia"/>
          <w:szCs w:val="21"/>
        </w:rPr>
        <w:t>三、关于自学教材</w:t>
      </w:r>
    </w:p>
    <w:p w14:paraId="71AD2CAC" w14:textId="77777777" w:rsidR="00092EF7" w:rsidRDefault="00000000">
      <w:pPr>
        <w:snapToGrid w:val="0"/>
        <w:ind w:firstLineChars="200" w:firstLine="420"/>
        <w:rPr>
          <w:rFonts w:ascii="仿宋_GB2312" w:eastAsia="仿宋_GB2312" w:hAnsi="仿宋_GB2312" w:cs="仿宋_GB2312"/>
          <w:szCs w:val="21"/>
          <w:lang w:val="en-GB"/>
        </w:rPr>
      </w:pPr>
      <w:r>
        <w:rPr>
          <w:rFonts w:ascii="仿宋_GB2312" w:eastAsia="仿宋_GB2312" w:hAnsi="仿宋_GB2312" w:cs="仿宋_GB2312" w:hint="eastAsia"/>
          <w:szCs w:val="21"/>
          <w:lang w:val="en-GB"/>
        </w:rPr>
        <w:t>《</w:t>
      </w:r>
      <w:r>
        <w:rPr>
          <w:rFonts w:ascii="仿宋_GB2312" w:eastAsia="仿宋_GB2312" w:hAnsi="仿宋_GB2312" w:cs="仿宋_GB2312" w:hint="eastAsia"/>
          <w:szCs w:val="21"/>
        </w:rPr>
        <w:t>产品设计表达解析</w:t>
      </w:r>
      <w:r>
        <w:rPr>
          <w:rFonts w:ascii="仿宋_GB2312" w:eastAsia="仿宋_GB2312" w:hAnsi="仿宋_GB2312" w:cs="仿宋_GB2312" w:hint="eastAsia"/>
          <w:szCs w:val="21"/>
          <w:lang w:val="en-GB"/>
        </w:rPr>
        <w:t>》，</w:t>
      </w:r>
      <w:r>
        <w:rPr>
          <w:rFonts w:ascii="仿宋_GB2312" w:eastAsia="仿宋_GB2312" w:hAnsi="仿宋_GB2312" w:cs="仿宋_GB2312" w:hint="eastAsia"/>
          <w:szCs w:val="21"/>
        </w:rPr>
        <w:t>张立昊</w:t>
      </w:r>
      <w:r>
        <w:rPr>
          <w:rFonts w:ascii="仿宋_GB2312" w:eastAsia="仿宋_GB2312" w:hAnsi="仿宋_GB2312" w:cs="仿宋_GB2312" w:hint="eastAsia"/>
          <w:szCs w:val="21"/>
          <w:lang w:val="en-GB"/>
        </w:rPr>
        <w:t>主编，</w:t>
      </w:r>
      <w:r>
        <w:rPr>
          <w:rFonts w:ascii="仿宋_GB2312" w:eastAsia="仿宋_GB2312" w:hAnsi="仿宋_GB2312" w:cs="仿宋_GB2312" w:hint="eastAsia"/>
          <w:szCs w:val="21"/>
        </w:rPr>
        <w:t>清华大学</w:t>
      </w:r>
      <w:r>
        <w:rPr>
          <w:rFonts w:ascii="仿宋_GB2312" w:eastAsia="仿宋_GB2312" w:hAnsi="仿宋_GB2312" w:cs="仿宋_GB2312" w:hint="eastAsia"/>
          <w:szCs w:val="21"/>
          <w:lang w:val="en-GB"/>
        </w:rPr>
        <w:t>出版社，</w:t>
      </w:r>
      <w:r>
        <w:rPr>
          <w:rFonts w:ascii="仿宋_GB2312" w:eastAsia="仿宋_GB2312" w:hAnsi="仿宋_GB2312" w:cs="仿宋_GB2312" w:hint="eastAsia"/>
          <w:szCs w:val="21"/>
        </w:rPr>
        <w:t>2019</w:t>
      </w:r>
      <w:r>
        <w:rPr>
          <w:rFonts w:ascii="仿宋_GB2312" w:eastAsia="仿宋_GB2312" w:hAnsi="仿宋_GB2312" w:cs="仿宋_GB2312" w:hint="eastAsia"/>
          <w:szCs w:val="21"/>
          <w:lang w:val="en-GB"/>
        </w:rPr>
        <w:t>年版。</w:t>
      </w:r>
    </w:p>
    <w:p w14:paraId="1B97C4B6"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四、关于自学要求和自学方法的指导</w:t>
      </w:r>
    </w:p>
    <w:p w14:paraId="2862484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5D7B43D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为有效地指导个人自学和社会助学，本大纲已指明了课程的重点和难点，在章节的基本要求中一般也指明了章节内容的重点和难点。</w:t>
      </w:r>
    </w:p>
    <w:p w14:paraId="5CE6D24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建议学习本课程时注意以下几点：</w:t>
      </w:r>
    </w:p>
    <w:p w14:paraId="1E1E67C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1、在开始阅读指定教材某一章之前，先翻阅大纲中有关这一章的考核知识点及对知识点的能力层次要求和考核目标，以便在阅读教材时做到心中有数，有的放矢。 </w:t>
      </w:r>
    </w:p>
    <w:p w14:paraId="0F7F2F2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2、阅读教材时，要逐段细读，逐句推敲，集中精力，吃透每一个知识点，对基本概念必须深刻理解，对基本理论必须彻底弄清，对基本方法必须牢固掌握。 </w:t>
      </w:r>
    </w:p>
    <w:p w14:paraId="1D40D56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3、在自学过程中，既要思考问题，也要做好阅读笔记，把教材中的基本概念、原理、方法等加以整理，这可从中加深对问题的认知、理解和记忆，以利于突出重点，并涵盖整个内容，可以不断提高自学能力。 </w:t>
      </w:r>
    </w:p>
    <w:p w14:paraId="5B48331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14:paraId="7BDC4B7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五、对社会助学的要求</w:t>
      </w:r>
    </w:p>
    <w:p w14:paraId="4D49410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在助学活动中应注意的问题。要强调注意正确引导、把握好助学方向，正确处理学习知识和提高能力的关系。</w:t>
      </w:r>
    </w:p>
    <w:p w14:paraId="0E51313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1、应熟知考试大纲对课程提出的总要求和各章的知识点。 </w:t>
      </w:r>
    </w:p>
    <w:p w14:paraId="5BD9EC3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2、应掌握各知识点要求达到的能力层次，并深刻理解对各知识点的考核目标。 </w:t>
      </w:r>
    </w:p>
    <w:p w14:paraId="5248B12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3、辅导时，应以考试大纲为依据，指定的教材为基础，不要随意增删内容，以免与大纲脱节。 </w:t>
      </w:r>
    </w:p>
    <w:p w14:paraId="49C132EF"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4、辅导时，应对学习方法进行指导，宜提倡“认真阅读教材，刻苦钻研教材，主动争</w:t>
      </w:r>
      <w:r>
        <w:rPr>
          <w:rFonts w:ascii="仿宋_GB2312" w:eastAsia="仿宋_GB2312" w:hAnsi="仿宋_GB2312" w:cs="仿宋_GB2312" w:hint="eastAsia"/>
          <w:szCs w:val="21"/>
        </w:rPr>
        <w:lastRenderedPageBreak/>
        <w:t xml:space="preserve">取帮助，依靠自己学通”的方法。 </w:t>
      </w:r>
    </w:p>
    <w:p w14:paraId="13CBC7C7"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5、辅导时，要注意突出重点，对考生提出的问题，不要有问即答，要积极启发引导。 </w:t>
      </w:r>
    </w:p>
    <w:p w14:paraId="0BBBE5A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6、注意对应考者能力的培养，特别是自学能力的培养，要引导考生逐步学会独立学习，在自学过程中善于提出问题，分析问题，做出判断，解决问题。 </w:t>
      </w:r>
    </w:p>
    <w:p w14:paraId="4266E328"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7、要使考生了解试题的难易与能力层次高低两者不完全是一回事，在各个能力层次中会存在着不同难度的试题。</w:t>
      </w:r>
    </w:p>
    <w:p w14:paraId="0025500D"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8、建议每学分2-3个助学学时。</w:t>
      </w:r>
    </w:p>
    <w:p w14:paraId="327CA00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六、对考核内容的说明</w:t>
      </w:r>
    </w:p>
    <w:p w14:paraId="7213BA7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叫能力）层次确定其考核要求。</w:t>
      </w:r>
    </w:p>
    <w:p w14:paraId="79E5E0A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02E8CDD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七、关于考试命题的若干规定</w:t>
      </w:r>
    </w:p>
    <w:p w14:paraId="382CD911"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1、本课程考试为闭卷笔试，考试时间150分钟，满分100分，60分及格。</w:t>
      </w:r>
    </w:p>
    <w:p w14:paraId="2B902A9C"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2、本大纲各章所规定的基本要求、知识点及知识点下的知识细目，都属于考核的内容。考试命题既要覆盖到章，又要避免面面俱到。要注意突出课程的重点、章节重点，加大重点内容的覆盖度。</w:t>
      </w:r>
    </w:p>
    <w:p w14:paraId="54BF6D73"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3、命题不应有超出大纲中考核知识</w:t>
      </w:r>
      <w:proofErr w:type="gramStart"/>
      <w:r>
        <w:rPr>
          <w:rFonts w:ascii="仿宋_GB2312" w:eastAsia="仿宋_GB2312" w:hAnsi="仿宋_GB2312" w:cs="仿宋_GB2312" w:hint="eastAsia"/>
          <w:szCs w:val="21"/>
        </w:rPr>
        <w:t>点范围</w:t>
      </w:r>
      <w:proofErr w:type="gramEnd"/>
      <w:r>
        <w:rPr>
          <w:rFonts w:ascii="仿宋_GB2312" w:eastAsia="仿宋_GB2312" w:hAnsi="仿宋_GB2312" w:cs="仿宋_GB2312" w:hint="eastAsia"/>
          <w:szCs w:val="21"/>
        </w:rPr>
        <w:t>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64A87996" w14:textId="77777777" w:rsidR="00CD345D" w:rsidRDefault="00000000" w:rsidP="00CD345D">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4、本课程在试卷中对不同能力层次要求的分数比例大致为：识记占30%，</w:t>
      </w:r>
      <w:proofErr w:type="gramStart"/>
      <w:r>
        <w:rPr>
          <w:rFonts w:ascii="仿宋_GB2312" w:eastAsia="仿宋_GB2312" w:hAnsi="仿宋_GB2312" w:cs="仿宋_GB2312" w:hint="eastAsia"/>
          <w:szCs w:val="21"/>
        </w:rPr>
        <w:t>领会占</w:t>
      </w:r>
      <w:proofErr w:type="gramEnd"/>
      <w:r>
        <w:rPr>
          <w:rFonts w:ascii="仿宋_GB2312" w:eastAsia="仿宋_GB2312" w:hAnsi="仿宋_GB2312" w:cs="仿宋_GB2312" w:hint="eastAsia"/>
          <w:szCs w:val="21"/>
        </w:rPr>
        <w:t>30%，</w:t>
      </w:r>
      <w:proofErr w:type="gramStart"/>
      <w:r>
        <w:rPr>
          <w:rFonts w:ascii="仿宋_GB2312" w:eastAsia="仿宋_GB2312" w:hAnsi="仿宋_GB2312" w:cs="仿宋_GB2312" w:hint="eastAsia"/>
          <w:szCs w:val="21"/>
        </w:rPr>
        <w:t>应用占</w:t>
      </w:r>
      <w:proofErr w:type="gramEnd"/>
      <w:r>
        <w:rPr>
          <w:rFonts w:ascii="仿宋_GB2312" w:eastAsia="仿宋_GB2312" w:hAnsi="仿宋_GB2312" w:cs="仿宋_GB2312" w:hint="eastAsia"/>
          <w:szCs w:val="21"/>
        </w:rPr>
        <w:t>40%。</w:t>
      </w:r>
    </w:p>
    <w:p w14:paraId="46D731B0" w14:textId="77777777" w:rsidR="00CD345D" w:rsidRDefault="00000000" w:rsidP="00CD345D">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5、要合理安排试题的难易程度，试题的难度可分为：易、较易、较难和难四个等级。每份试卷中不同难度试题的分数比例一般为：2:3:3:2。</w:t>
      </w:r>
    </w:p>
    <w:p w14:paraId="4158917B" w14:textId="7A02572C" w:rsidR="00092EF7" w:rsidRPr="00CD345D" w:rsidRDefault="00000000" w:rsidP="00CD345D">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rPr>
        <w:t>各种题型的具体样式参见本大纲附录。</w:t>
      </w:r>
    </w:p>
    <w:p w14:paraId="7DD1E615" w14:textId="77777777" w:rsidR="00092EF7" w:rsidRDefault="00092EF7">
      <w:pPr>
        <w:snapToGrid w:val="0"/>
        <w:ind w:firstLineChars="200" w:firstLine="420"/>
        <w:rPr>
          <w:rFonts w:ascii="仿宋_GB2312" w:eastAsia="仿宋_GB2312" w:hAnsi="仿宋_GB2312" w:cs="仿宋_GB2312"/>
          <w:szCs w:val="21"/>
        </w:rPr>
      </w:pPr>
    </w:p>
    <w:p w14:paraId="7874C1FD" w14:textId="77777777" w:rsidR="00092EF7" w:rsidRDefault="00092EF7">
      <w:pPr>
        <w:snapToGrid w:val="0"/>
        <w:rPr>
          <w:rFonts w:ascii="仿宋_GB2312" w:eastAsia="仿宋_GB2312" w:hAnsi="仿宋_GB2312" w:cs="仿宋_GB2312"/>
          <w:szCs w:val="21"/>
        </w:rPr>
      </w:pPr>
    </w:p>
    <w:p w14:paraId="32430B9C" w14:textId="77777777" w:rsidR="00092EF7" w:rsidRDefault="00092EF7">
      <w:pPr>
        <w:snapToGrid w:val="0"/>
        <w:rPr>
          <w:rFonts w:ascii="仿宋_GB2312" w:eastAsia="仿宋_GB2312" w:hAnsi="仿宋_GB2312" w:cs="仿宋_GB2312"/>
          <w:szCs w:val="21"/>
        </w:rPr>
      </w:pPr>
    </w:p>
    <w:p w14:paraId="51212D86" w14:textId="77777777" w:rsidR="00092EF7" w:rsidRDefault="00000000">
      <w:pPr>
        <w:snapToGrid w:val="0"/>
        <w:ind w:firstLineChars="200" w:firstLine="420"/>
        <w:jc w:val="center"/>
        <w:rPr>
          <w:rFonts w:ascii="仿宋_GB2312" w:eastAsia="仿宋_GB2312" w:hAnsi="仿宋_GB2312" w:cs="仿宋_GB2312"/>
          <w:b/>
          <w:bCs/>
          <w:szCs w:val="21"/>
        </w:rPr>
      </w:pPr>
      <w:r>
        <w:rPr>
          <w:rFonts w:ascii="仿宋_GB2312" w:eastAsia="仿宋_GB2312" w:hAnsi="仿宋_GB2312" w:cs="仿宋_GB2312" w:hint="eastAsia"/>
          <w:b/>
          <w:bCs/>
          <w:szCs w:val="21"/>
        </w:rPr>
        <w:t>附录 题型举例</w:t>
      </w:r>
    </w:p>
    <w:p w14:paraId="00DC3CF5" w14:textId="75C0B3BC" w:rsidR="00092EF7" w:rsidRDefault="00000000">
      <w:pPr>
        <w:numPr>
          <w:ilvl w:val="255"/>
          <w:numId w:val="0"/>
        </w:numPr>
        <w:snapToGrid w:val="0"/>
        <w:ind w:firstLineChars="200" w:firstLine="420"/>
        <w:outlineLvl w:val="1"/>
        <w:rPr>
          <w:rFonts w:ascii="仿宋_GB2312" w:eastAsia="仿宋_GB2312" w:hAnsi="仿宋_GB2312" w:cs="仿宋_GB2312"/>
          <w:szCs w:val="21"/>
        </w:rPr>
      </w:pPr>
      <w:r>
        <w:rPr>
          <w:rFonts w:ascii="仿宋_GB2312" w:eastAsia="仿宋_GB2312" w:hAnsi="仿宋_GB2312" w:cs="仿宋_GB2312" w:hint="eastAsia"/>
          <w:szCs w:val="21"/>
        </w:rPr>
        <w:t>一、单项选择题（在每小题后的4个备选项中只有一个是符合题目要求的，请将其选出并填写在题后的括号内）</w:t>
      </w:r>
      <w:bookmarkStart w:id="0" w:name="_Hlk130844722"/>
      <w:r w:rsidR="00484C9D">
        <w:rPr>
          <w:rFonts w:ascii="仿宋_GB2312" w:eastAsia="仿宋_GB2312" w:hAnsi="仿宋_GB2312" w:cs="仿宋_GB2312" w:hint="eastAsia"/>
          <w:szCs w:val="21"/>
        </w:rPr>
        <w:t>。</w:t>
      </w:r>
    </w:p>
    <w:bookmarkEnd w:id="0"/>
    <w:p w14:paraId="39D93143" w14:textId="7CBC17C6" w:rsidR="00CB1EF3" w:rsidRDefault="00000000" w:rsidP="00CB1EF3">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1.一点透视也称为（  ）</w:t>
      </w:r>
      <w:r w:rsidR="00484C9D">
        <w:rPr>
          <w:rFonts w:ascii="仿宋_GB2312" w:eastAsia="仿宋_GB2312" w:hAnsi="仿宋_GB2312" w:cs="仿宋_GB2312" w:hint="eastAsia"/>
          <w:szCs w:val="21"/>
        </w:rPr>
        <w:t>。</w:t>
      </w:r>
    </w:p>
    <w:p w14:paraId="5C0892B7" w14:textId="138A4080" w:rsidR="00092EF7" w:rsidRDefault="00000000" w:rsidP="00CB1EF3">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A.色彩透视 B.空气透视 C.倾斜透视 D.平行透视</w:t>
      </w:r>
    </w:p>
    <w:p w14:paraId="2BB04113" w14:textId="56E8F719" w:rsidR="00CB1EF3" w:rsidRDefault="00000000" w:rsidP="00CB1EF3">
      <w:pPr>
        <w:snapToGrid w:val="0"/>
        <w:ind w:firstLine="420"/>
        <w:rPr>
          <w:rFonts w:ascii="仿宋_GB2312" w:eastAsia="仿宋_GB2312" w:hAnsi="仿宋_GB2312" w:cs="仿宋_GB2312"/>
          <w:szCs w:val="21"/>
        </w:rPr>
      </w:pPr>
      <w:r>
        <w:rPr>
          <w:rFonts w:ascii="仿宋_GB2312" w:eastAsia="仿宋_GB2312" w:hAnsi="仿宋_GB2312" w:cs="仿宋_GB2312" w:hint="eastAsia"/>
          <w:szCs w:val="21"/>
        </w:rPr>
        <w:t>2.以下哪个不属于草图的种类</w:t>
      </w:r>
      <w:r w:rsidR="00CB1EF3">
        <w:rPr>
          <w:rFonts w:ascii="仿宋_GB2312" w:eastAsia="仿宋_GB2312" w:hAnsi="仿宋_GB2312" w:cs="仿宋_GB2312" w:hint="eastAsia"/>
          <w:szCs w:val="21"/>
        </w:rPr>
        <w:t>（  ）</w:t>
      </w:r>
      <w:r w:rsidR="00484C9D">
        <w:rPr>
          <w:rFonts w:ascii="仿宋_GB2312" w:eastAsia="仿宋_GB2312" w:hAnsi="仿宋_GB2312" w:cs="仿宋_GB2312" w:hint="eastAsia"/>
          <w:szCs w:val="21"/>
        </w:rPr>
        <w:t>。</w:t>
      </w:r>
    </w:p>
    <w:p w14:paraId="7B33D26F" w14:textId="73D41ED8" w:rsidR="00092EF7" w:rsidRDefault="00000000" w:rsidP="00CB1EF3">
      <w:pPr>
        <w:snapToGrid w:val="0"/>
        <w:ind w:firstLine="420"/>
        <w:rPr>
          <w:rFonts w:ascii="仿宋_GB2312" w:eastAsia="仿宋_GB2312" w:hAnsi="仿宋_GB2312" w:cs="仿宋_GB2312"/>
          <w:szCs w:val="21"/>
        </w:rPr>
      </w:pPr>
      <w:r>
        <w:rPr>
          <w:rFonts w:ascii="仿宋_GB2312" w:eastAsia="仿宋_GB2312" w:hAnsi="仿宋_GB2312" w:cs="仿宋_GB2312" w:hint="eastAsia"/>
          <w:szCs w:val="21"/>
        </w:rPr>
        <w:t xml:space="preserve">A.效果式草图 B.解释性草图 C.分析性草图 D.结构草图 </w:t>
      </w:r>
    </w:p>
    <w:p w14:paraId="0E1CEB7B" w14:textId="425C50C6"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二、名词解释题</w:t>
      </w:r>
      <w:r w:rsidR="00484C9D">
        <w:rPr>
          <w:rFonts w:ascii="仿宋_GB2312" w:eastAsia="仿宋_GB2312" w:hAnsi="仿宋_GB2312" w:cs="仿宋_GB2312" w:hint="eastAsia"/>
          <w:szCs w:val="21"/>
        </w:rPr>
        <w:t>。</w:t>
      </w:r>
    </w:p>
    <w:p w14:paraId="06828A9B"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1.视角</w:t>
      </w:r>
    </w:p>
    <w:p w14:paraId="590C034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2.表现要素</w:t>
      </w:r>
    </w:p>
    <w:p w14:paraId="3CE6594A" w14:textId="6A939BD6"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三、简答题</w:t>
      </w:r>
      <w:r w:rsidR="00484C9D">
        <w:rPr>
          <w:rFonts w:ascii="仿宋_GB2312" w:eastAsia="仿宋_GB2312" w:hAnsi="仿宋_GB2312" w:cs="仿宋_GB2312" w:hint="eastAsia"/>
          <w:szCs w:val="21"/>
        </w:rPr>
        <w:t>。</w:t>
      </w:r>
    </w:p>
    <w:p w14:paraId="6BFC42F2"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1.简述视觉流程的原理。</w:t>
      </w:r>
    </w:p>
    <w:p w14:paraId="47A140AA"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2.简述何为设计表达的语言？</w:t>
      </w:r>
    </w:p>
    <w:p w14:paraId="103A9240" w14:textId="3BCE4DC3"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四、论述题</w:t>
      </w:r>
      <w:r w:rsidR="00484C9D">
        <w:rPr>
          <w:rFonts w:ascii="仿宋_GB2312" w:eastAsia="仿宋_GB2312" w:hAnsi="仿宋_GB2312" w:cs="仿宋_GB2312" w:hint="eastAsia"/>
          <w:szCs w:val="21"/>
        </w:rPr>
        <w:t>。</w:t>
      </w:r>
    </w:p>
    <w:p w14:paraId="32096895"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1.论述透视对设计的影响。</w:t>
      </w:r>
    </w:p>
    <w:p w14:paraId="2DFDF2F9" w14:textId="77777777" w:rsidR="00092EF7" w:rsidRDefault="00000000">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2.论述设计表达的内涵。</w:t>
      </w:r>
    </w:p>
    <w:p w14:paraId="025F01F1" w14:textId="77777777" w:rsidR="00092EF7" w:rsidRDefault="00092EF7"/>
    <w:sectPr w:rsidR="00092EF7">
      <w:headerReference w:type="default" r:id="rId7"/>
      <w:footerReference w:type="even" r:id="rId8"/>
      <w:footerReference w:type="default" r:id="rId9"/>
      <w:pgSz w:w="11907"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0989" w14:textId="77777777" w:rsidR="00A85A6B" w:rsidRDefault="00A85A6B">
      <w:r>
        <w:separator/>
      </w:r>
    </w:p>
  </w:endnote>
  <w:endnote w:type="continuationSeparator" w:id="0">
    <w:p w14:paraId="19EC3BE5" w14:textId="77777777" w:rsidR="00A85A6B" w:rsidRDefault="00A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38A0" w14:textId="77777777" w:rsidR="00092EF7"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C51E2D" w14:textId="77777777" w:rsidR="00092EF7" w:rsidRDefault="00092EF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50ED" w14:textId="77777777" w:rsidR="00092EF7"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6</w:t>
    </w:r>
    <w:r>
      <w:rPr>
        <w:rStyle w:val="a9"/>
      </w:rPr>
      <w:fldChar w:fldCharType="end"/>
    </w:r>
  </w:p>
  <w:p w14:paraId="4D1B6A1D" w14:textId="77777777" w:rsidR="00092EF7" w:rsidRDefault="00092EF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5995" w14:textId="77777777" w:rsidR="00A85A6B" w:rsidRDefault="00A85A6B">
      <w:r>
        <w:separator/>
      </w:r>
    </w:p>
  </w:footnote>
  <w:footnote w:type="continuationSeparator" w:id="0">
    <w:p w14:paraId="53EFAB17" w14:textId="77777777" w:rsidR="00A85A6B" w:rsidRDefault="00A8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0C6F" w14:textId="77777777" w:rsidR="00092EF7" w:rsidRDefault="00092EF7">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C065F4"/>
    <w:multiLevelType w:val="singleLevel"/>
    <w:tmpl w:val="E3C065F4"/>
    <w:lvl w:ilvl="0">
      <w:start w:val="2"/>
      <w:numFmt w:val="chineseCounting"/>
      <w:suff w:val="nothing"/>
      <w:lvlText w:val="%1、"/>
      <w:lvlJc w:val="left"/>
      <w:rPr>
        <w:rFonts w:hint="eastAsia"/>
      </w:rPr>
    </w:lvl>
  </w:abstractNum>
  <w:abstractNum w:abstractNumId="1" w15:restartNumberingAfterBreak="0">
    <w:nsid w:val="FEA096CC"/>
    <w:multiLevelType w:val="singleLevel"/>
    <w:tmpl w:val="FEA096CC"/>
    <w:lvl w:ilvl="0">
      <w:start w:val="2"/>
      <w:numFmt w:val="chineseCounting"/>
      <w:suff w:val="nothing"/>
      <w:lvlText w:val="（%1）"/>
      <w:lvlJc w:val="left"/>
      <w:rPr>
        <w:rFonts w:hint="eastAsia"/>
      </w:rPr>
    </w:lvl>
  </w:abstractNum>
  <w:abstractNum w:abstractNumId="2" w15:restartNumberingAfterBreak="0">
    <w:nsid w:val="FFCCEF7D"/>
    <w:multiLevelType w:val="singleLevel"/>
    <w:tmpl w:val="FFCCEF7D"/>
    <w:lvl w:ilvl="0">
      <w:start w:val="4"/>
      <w:numFmt w:val="chineseCounting"/>
      <w:suff w:val="nothing"/>
      <w:lvlText w:val="%1、"/>
      <w:lvlJc w:val="left"/>
      <w:rPr>
        <w:rFonts w:hint="eastAsia"/>
      </w:rPr>
    </w:lvl>
  </w:abstractNum>
  <w:abstractNum w:abstractNumId="3" w15:restartNumberingAfterBreak="0">
    <w:nsid w:val="2E282BF4"/>
    <w:multiLevelType w:val="singleLevel"/>
    <w:tmpl w:val="2E282BF4"/>
    <w:lvl w:ilvl="0">
      <w:start w:val="3"/>
      <w:numFmt w:val="chineseCounting"/>
      <w:suff w:val="nothing"/>
      <w:lvlText w:val="（%1）"/>
      <w:lvlJc w:val="left"/>
      <w:rPr>
        <w:rFonts w:hint="eastAsia"/>
      </w:rPr>
    </w:lvl>
  </w:abstractNum>
  <w:num w:numId="1" w16cid:durableId="1724062856">
    <w:abstractNumId w:val="2"/>
  </w:num>
  <w:num w:numId="2" w16cid:durableId="1518226689">
    <w:abstractNumId w:val="0"/>
  </w:num>
  <w:num w:numId="3" w16cid:durableId="1661735454">
    <w:abstractNumId w:val="3"/>
  </w:num>
  <w:num w:numId="4" w16cid:durableId="89708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B23F5"/>
    <w:rsid w:val="00004715"/>
    <w:rsid w:val="000307C5"/>
    <w:rsid w:val="000630B2"/>
    <w:rsid w:val="000737F6"/>
    <w:rsid w:val="0009208D"/>
    <w:rsid w:val="00092EF7"/>
    <w:rsid w:val="000A4F0D"/>
    <w:rsid w:val="000A72F2"/>
    <w:rsid w:val="000B79BD"/>
    <w:rsid w:val="000F2D29"/>
    <w:rsid w:val="00133ACD"/>
    <w:rsid w:val="0016552C"/>
    <w:rsid w:val="0019158C"/>
    <w:rsid w:val="00193E1B"/>
    <w:rsid w:val="0019577B"/>
    <w:rsid w:val="001A4E10"/>
    <w:rsid w:val="001B23F5"/>
    <w:rsid w:val="001F0C92"/>
    <w:rsid w:val="001F5B46"/>
    <w:rsid w:val="0020063B"/>
    <w:rsid w:val="00201862"/>
    <w:rsid w:val="002158FA"/>
    <w:rsid w:val="00220F76"/>
    <w:rsid w:val="00256B66"/>
    <w:rsid w:val="002701DB"/>
    <w:rsid w:val="00307D61"/>
    <w:rsid w:val="003333D1"/>
    <w:rsid w:val="0034503F"/>
    <w:rsid w:val="003A2B8D"/>
    <w:rsid w:val="003B5DF6"/>
    <w:rsid w:val="003D3264"/>
    <w:rsid w:val="003D49E5"/>
    <w:rsid w:val="003F661D"/>
    <w:rsid w:val="004303CC"/>
    <w:rsid w:val="00460595"/>
    <w:rsid w:val="00465AD8"/>
    <w:rsid w:val="00466044"/>
    <w:rsid w:val="00484C9D"/>
    <w:rsid w:val="004C551D"/>
    <w:rsid w:val="0054041A"/>
    <w:rsid w:val="00564A6B"/>
    <w:rsid w:val="005910AD"/>
    <w:rsid w:val="005A2DFB"/>
    <w:rsid w:val="005F2EDF"/>
    <w:rsid w:val="00604911"/>
    <w:rsid w:val="006215B2"/>
    <w:rsid w:val="0064438F"/>
    <w:rsid w:val="0066220C"/>
    <w:rsid w:val="00673BD7"/>
    <w:rsid w:val="00691D42"/>
    <w:rsid w:val="006B6BAB"/>
    <w:rsid w:val="006D39CA"/>
    <w:rsid w:val="006E115A"/>
    <w:rsid w:val="007559D1"/>
    <w:rsid w:val="00763A3F"/>
    <w:rsid w:val="00786A1E"/>
    <w:rsid w:val="007C109C"/>
    <w:rsid w:val="007C5BA7"/>
    <w:rsid w:val="007D42AF"/>
    <w:rsid w:val="007D617B"/>
    <w:rsid w:val="00800B1A"/>
    <w:rsid w:val="00801732"/>
    <w:rsid w:val="00836012"/>
    <w:rsid w:val="00864182"/>
    <w:rsid w:val="0088138E"/>
    <w:rsid w:val="008D3899"/>
    <w:rsid w:val="008D46F5"/>
    <w:rsid w:val="00913911"/>
    <w:rsid w:val="00926C71"/>
    <w:rsid w:val="00953683"/>
    <w:rsid w:val="00954A6C"/>
    <w:rsid w:val="0098445E"/>
    <w:rsid w:val="009B0D30"/>
    <w:rsid w:val="009D5A7B"/>
    <w:rsid w:val="009F4AF7"/>
    <w:rsid w:val="009F7402"/>
    <w:rsid w:val="00A26C78"/>
    <w:rsid w:val="00A537FA"/>
    <w:rsid w:val="00A85A6B"/>
    <w:rsid w:val="00AA39C5"/>
    <w:rsid w:val="00B60C57"/>
    <w:rsid w:val="00BB7381"/>
    <w:rsid w:val="00BC4AD6"/>
    <w:rsid w:val="00BD661D"/>
    <w:rsid w:val="00BE77A4"/>
    <w:rsid w:val="00BF3C8B"/>
    <w:rsid w:val="00C0633D"/>
    <w:rsid w:val="00C27CBB"/>
    <w:rsid w:val="00C62287"/>
    <w:rsid w:val="00CB1EF3"/>
    <w:rsid w:val="00CC2CCD"/>
    <w:rsid w:val="00CD345D"/>
    <w:rsid w:val="00D559EA"/>
    <w:rsid w:val="00D808B5"/>
    <w:rsid w:val="00DB7A20"/>
    <w:rsid w:val="00DD1223"/>
    <w:rsid w:val="00DE7C4F"/>
    <w:rsid w:val="00DF6F66"/>
    <w:rsid w:val="00E00AD2"/>
    <w:rsid w:val="00E04A99"/>
    <w:rsid w:val="00E07DCE"/>
    <w:rsid w:val="00E348ED"/>
    <w:rsid w:val="00E40A96"/>
    <w:rsid w:val="00E70A37"/>
    <w:rsid w:val="00E7520E"/>
    <w:rsid w:val="00E81375"/>
    <w:rsid w:val="00E93B0D"/>
    <w:rsid w:val="00EB23D7"/>
    <w:rsid w:val="00EB6B82"/>
    <w:rsid w:val="00EC7788"/>
    <w:rsid w:val="00EE0E51"/>
    <w:rsid w:val="00F0177D"/>
    <w:rsid w:val="00F106B6"/>
    <w:rsid w:val="00F12700"/>
    <w:rsid w:val="00F2034A"/>
    <w:rsid w:val="00F504DC"/>
    <w:rsid w:val="00F60716"/>
    <w:rsid w:val="00FA2C3C"/>
    <w:rsid w:val="00FA52C5"/>
    <w:rsid w:val="00FB05B4"/>
    <w:rsid w:val="00FB57C2"/>
    <w:rsid w:val="00FD5D0B"/>
    <w:rsid w:val="00FE2385"/>
    <w:rsid w:val="07C3421A"/>
    <w:rsid w:val="0AEC1921"/>
    <w:rsid w:val="0BCC4678"/>
    <w:rsid w:val="0FAC74EA"/>
    <w:rsid w:val="10C256A4"/>
    <w:rsid w:val="120007B7"/>
    <w:rsid w:val="127D5882"/>
    <w:rsid w:val="1533572C"/>
    <w:rsid w:val="1ABD0BF9"/>
    <w:rsid w:val="1B351FAC"/>
    <w:rsid w:val="204E6AC6"/>
    <w:rsid w:val="222D3C14"/>
    <w:rsid w:val="27514CAA"/>
    <w:rsid w:val="27A24911"/>
    <w:rsid w:val="2BC03067"/>
    <w:rsid w:val="30E13D9C"/>
    <w:rsid w:val="3114545B"/>
    <w:rsid w:val="312D57A8"/>
    <w:rsid w:val="382B0567"/>
    <w:rsid w:val="386C61B8"/>
    <w:rsid w:val="3DE85EB5"/>
    <w:rsid w:val="437F5567"/>
    <w:rsid w:val="460B16BF"/>
    <w:rsid w:val="490758BB"/>
    <w:rsid w:val="49EF783F"/>
    <w:rsid w:val="4FD04DDB"/>
    <w:rsid w:val="4FE845E6"/>
    <w:rsid w:val="59A9333D"/>
    <w:rsid w:val="5B436CC3"/>
    <w:rsid w:val="5EBF0979"/>
    <w:rsid w:val="5F3E0F11"/>
    <w:rsid w:val="60285208"/>
    <w:rsid w:val="630D219D"/>
    <w:rsid w:val="6AED32D6"/>
    <w:rsid w:val="6B7D0D4F"/>
    <w:rsid w:val="6CE30E35"/>
    <w:rsid w:val="708D71D3"/>
    <w:rsid w:val="736902E6"/>
    <w:rsid w:val="78222C5D"/>
    <w:rsid w:val="79FA7ECE"/>
    <w:rsid w:val="7B402F89"/>
    <w:rsid w:val="7D125FF9"/>
    <w:rsid w:val="7DDD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9B7D2"/>
  <w15:docId w15:val="{2A9A41CB-F2D2-416B-8023-3606995F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Plain Text"/>
    <w:basedOn w:val="a"/>
    <w:qFormat/>
    <w:pPr>
      <w:jc w:val="center"/>
    </w:pPr>
    <w:rPr>
      <w:rFonts w:ascii="仿宋_GB2312" w:eastAsia="仿宋_GB2312" w:hAnsi="Courier New" w:cs="Courier New"/>
      <w:color w:val="000000"/>
      <w:sz w:val="32"/>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left="1" w:firstLineChars="240" w:firstLine="720"/>
    </w:pPr>
    <w:rPr>
      <w:sz w:val="30"/>
      <w:szCs w:val="21"/>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8">
    <w:name w:val="Strong"/>
    <w:basedOn w:val="a0"/>
    <w:qFormat/>
    <w:rPr>
      <w:b/>
      <w:bCs/>
    </w:rPr>
  </w:style>
  <w:style w:type="character" w:styleId="a9">
    <w:name w:val="page number"/>
    <w:basedOn w:val="a0"/>
    <w:qFormat/>
  </w:style>
  <w:style w:type="character" w:styleId="aa">
    <w:name w:val="Hyperlink"/>
    <w:basedOn w:val="a0"/>
    <w:qFormat/>
    <w:rPr>
      <w:color w:val="000000"/>
      <w:u w:val="none"/>
    </w:rPr>
  </w:style>
  <w:style w:type="character" w:customStyle="1" w:styleId="style40">
    <w:name w:val="style40"/>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821</Words>
  <Characters>4683</Characters>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2009-09-21T07:22:00Z</cp:lastPrinted>
  <dcterms:created xsi:type="dcterms:W3CDTF">2013-07-12T06:07:00Z</dcterms:created>
  <dcterms:modified xsi:type="dcterms:W3CDTF">2023-07-07T03:24:00Z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5BEECB7A22DC4D9A8FDDB10D41BA5CA0_13</vt:lpwstr>
  </property>
</Properties>
</file>