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napToGrid w:val="0"/>
        <w:spacing w:line="240" w:lineRule="auto"/>
        <w:ind w:right="0" w:rightChars="0" w:firstLine="422" w:firstLineChars="200"/>
        <w:jc w:val="center"/>
        <w:outlineLvl w:val="9"/>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lang w:val="en-US" w:eastAsia="zh-CN"/>
        </w:rPr>
        <w:t>广东省高等教育自学考试</w:t>
      </w:r>
      <w:r>
        <w:rPr>
          <w:rFonts w:hint="eastAsia" w:ascii="仿宋_GB2312" w:hAnsi="仿宋_GB2312" w:eastAsia="仿宋_GB2312" w:cs="仿宋_GB2312"/>
          <w:b/>
          <w:bCs/>
          <w:sz w:val="21"/>
          <w:szCs w:val="21"/>
          <w:lang w:eastAsia="zh-CN"/>
        </w:rPr>
        <w:t>《交通运输经济学》</w:t>
      </w:r>
      <w:r>
        <w:rPr>
          <w:rFonts w:hint="eastAsia" w:ascii="仿宋_GB2312" w:hAnsi="仿宋_GB2312" w:eastAsia="仿宋_GB2312" w:cs="仿宋_GB2312"/>
          <w:b/>
          <w:bCs/>
          <w:sz w:val="21"/>
          <w:szCs w:val="21"/>
          <w:lang w:val="en-US" w:eastAsia="zh-CN"/>
        </w:rPr>
        <w:t>课程</w:t>
      </w:r>
      <w:r>
        <w:rPr>
          <w:rFonts w:hint="eastAsia" w:ascii="仿宋_GB2312" w:hAnsi="仿宋_GB2312" w:eastAsia="仿宋_GB2312" w:cs="仿宋_GB2312"/>
          <w:b/>
          <w:bCs/>
          <w:sz w:val="21"/>
          <w:szCs w:val="21"/>
        </w:rPr>
        <w:t>考试大纲</w:t>
      </w:r>
    </w:p>
    <w:p>
      <w:pPr>
        <w:keepNext w:val="0"/>
        <w:keepLines w:val="0"/>
        <w:pageBreakBefore w:val="0"/>
        <w:widowControl w:val="0"/>
        <w:kinsoku/>
        <w:wordWrap/>
        <w:overflowPunct/>
        <w:topLinePunct w:val="0"/>
        <w:autoSpaceDE/>
        <w:autoSpaceDN/>
        <w:bidi w:val="0"/>
        <w:snapToGrid w:val="0"/>
        <w:spacing w:line="240" w:lineRule="auto"/>
        <w:ind w:right="0" w:rightChars="0" w:firstLine="422" w:firstLineChars="200"/>
        <w:jc w:val="center"/>
        <w:outlineLvl w:val="9"/>
        <w:rPr>
          <w:rFonts w:hint="eastAsia" w:ascii="仿宋_GB2312" w:hAnsi="仿宋_GB2312" w:eastAsia="仿宋_GB2312" w:cs="仿宋_GB2312"/>
          <w:b/>
          <w:bCs/>
          <w:sz w:val="21"/>
          <w:szCs w:val="21"/>
          <w:lang w:eastAsia="zh-CN"/>
        </w:rPr>
      </w:pPr>
      <w:r>
        <w:rPr>
          <w:rFonts w:hint="eastAsia" w:ascii="仿宋_GB2312" w:hAnsi="仿宋_GB2312" w:eastAsia="仿宋_GB2312" w:cs="仿宋_GB2312"/>
          <w:b/>
          <w:bCs/>
          <w:sz w:val="21"/>
          <w:szCs w:val="21"/>
          <w:lang w:eastAsia="zh-CN"/>
        </w:rPr>
        <w:t>（</w:t>
      </w:r>
      <w:r>
        <w:rPr>
          <w:rFonts w:hint="eastAsia" w:ascii="仿宋_GB2312" w:hAnsi="仿宋_GB2312" w:eastAsia="仿宋_GB2312" w:cs="仿宋_GB2312"/>
          <w:b/>
          <w:bCs/>
          <w:sz w:val="21"/>
          <w:szCs w:val="21"/>
          <w:lang w:val="en-US" w:eastAsia="zh-CN"/>
        </w:rPr>
        <w:t>课程代码：13847</w:t>
      </w:r>
      <w:r>
        <w:rPr>
          <w:rFonts w:hint="eastAsia" w:ascii="仿宋_GB2312" w:hAnsi="仿宋_GB2312" w:eastAsia="仿宋_GB2312" w:cs="仿宋_GB2312"/>
          <w:b/>
          <w:bCs/>
          <w:sz w:val="21"/>
          <w:szCs w:val="21"/>
          <w:lang w:eastAsia="zh-CN"/>
        </w:rPr>
        <w:t>）</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center"/>
        <w:rPr>
          <w:rFonts w:hint="eastAsia" w:ascii="仿宋_GB2312" w:hAnsi="仿宋_GB2312" w:eastAsia="仿宋_GB2312" w:cs="仿宋_GB2312"/>
          <w:b w:val="0"/>
          <w:bCs w:val="0"/>
          <w:sz w:val="21"/>
          <w:szCs w:val="21"/>
        </w:rPr>
      </w:pPr>
    </w:p>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bCs/>
          <w:sz w:val="21"/>
          <w:szCs w:val="21"/>
          <w:lang w:val="en-US" w:eastAsia="zh-CN"/>
        </w:rPr>
      </w:pPr>
      <w:r>
        <w:rPr>
          <w:rFonts w:hint="eastAsia" w:ascii="仿宋_GB2312" w:hAnsi="仿宋_GB2312" w:eastAsia="仿宋_GB2312" w:cs="仿宋_GB2312"/>
          <w:b/>
          <w:bCs/>
          <w:sz w:val="21"/>
          <w:szCs w:val="21"/>
          <w:lang w:val="en-US" w:eastAsia="zh-CN"/>
        </w:rPr>
        <w:t>目录</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both"/>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Ⅰ  课程性质与课程目标</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both"/>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Ⅱ  考核目标</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both"/>
        <w:rPr>
          <w:rFonts w:hint="eastAsia" w:ascii="仿宋_GB2312" w:hAnsi="仿宋_GB2312" w:eastAsia="仿宋_GB2312" w:cs="仿宋_GB2312"/>
          <w:b w:val="0"/>
          <w:bCs w:val="0"/>
          <w:color w:val="FF0000"/>
          <w:sz w:val="21"/>
          <w:szCs w:val="21"/>
        </w:rPr>
      </w:pPr>
      <w:r>
        <w:rPr>
          <w:rFonts w:hint="eastAsia" w:ascii="仿宋_GB2312" w:hAnsi="仿宋_GB2312" w:eastAsia="仿宋_GB2312" w:cs="仿宋_GB2312"/>
          <w:b w:val="0"/>
          <w:bCs w:val="0"/>
          <w:sz w:val="21"/>
          <w:szCs w:val="21"/>
        </w:rPr>
        <w:t>Ⅲ  课程内容与考核要求</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both"/>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Ⅳ  关于大纲的说明与考核实施要求</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both"/>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 xml:space="preserve">附录 </w:t>
      </w:r>
      <w:r>
        <w:rPr>
          <w:rFonts w:hint="eastAsia" w:ascii="仿宋_GB2312" w:hAnsi="仿宋_GB2312" w:eastAsia="仿宋_GB2312" w:cs="仿宋_GB2312"/>
          <w:b w:val="0"/>
          <w:bCs w:val="0"/>
          <w:sz w:val="21"/>
          <w:szCs w:val="21"/>
        </w:rPr>
        <w:t>题型举例</w:t>
      </w:r>
    </w:p>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bCs/>
          <w:sz w:val="21"/>
          <w:szCs w:val="21"/>
        </w:rPr>
      </w:pPr>
    </w:p>
    <w:p>
      <w:pPr>
        <w:keepNext w:val="0"/>
        <w:keepLines w:val="0"/>
        <w:pageBreakBefore w:val="0"/>
        <w:widowControl w:val="0"/>
        <w:kinsoku/>
        <w:wordWrap/>
        <w:overflowPunct/>
        <w:topLinePunct w:val="0"/>
        <w:autoSpaceDE/>
        <w:autoSpaceDN/>
        <w:bidi w:val="0"/>
        <w:snapToGrid w:val="0"/>
        <w:spacing w:line="240" w:lineRule="auto"/>
        <w:ind w:right="0" w:rightChars="0" w:firstLine="422" w:firstLineChars="200"/>
        <w:jc w:val="center"/>
        <w:outlineLvl w:val="0"/>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Ⅰ  课程性质与课程目标</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一、课程性质和特点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交通运输经济学”是高等教育自学考试交通运输（专升本）考试计划中的一门专业基础课，它是为满足交通运输领域及相关专业对交通运输人才的需要而开设的。通过本课程的学习，为考生学习后继相关课程及开展课程设计打下必备的基础，使考生掌握交通运输经济学的基本原理，为今后从事交通运输专业工作提供理论知识。</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交通运输经济学是应用经济学的一个分支，是微观经济学原理和方法在交通运输领域的应用。它是一门与运输时间联系非常紧密，研究交通运输发展趋势、交通发展的一般规律的科学。它深入分析现实运输问题产生的原因，为制定交通发展政策提供依据。</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二、课程目标</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交通运输经济学的课程目标是通过本课程的</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内容学习</w:t>
      </w:r>
      <w:r>
        <w:rPr>
          <w:rFonts w:hint="eastAsia" w:ascii="仿宋_GB2312" w:hAnsi="仿宋_GB2312" w:eastAsia="仿宋_GB2312" w:cs="仿宋_GB2312"/>
          <w:b w:val="0"/>
          <w:bCs w:val="0"/>
          <w:color w:val="000000" w:themeColor="text1"/>
          <w:sz w:val="21"/>
          <w:szCs w:val="21"/>
          <w14:textFill>
            <w14:solidFill>
              <w14:schemeClr w14:val="tx1"/>
            </w14:solidFill>
          </w14:textFill>
        </w:rPr>
        <w:t>，使学生掌握交通运输经济学领域的基础知识、基本理论与基本方法，为在交通领域继续学习深造、从事政策研究等提供坚实的基础。</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课程目标及能力要求具体如下：</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1. 能够应用经济学的原理提出解决交通运输问题的方案，并具有整体意识和创新意识；</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2. 理解交通运输经济学的各类政策对社会、健康、安全、法律、文化的影响；</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3. 理解并掌握交通运输经济学的工程管理原理与经济决策方法；</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4. 能够将所掌握的交通运输经济学的工程管理原理和经济决策方法在多学科环境下应用于运输项目中。</w:t>
      </w:r>
    </w:p>
    <w:p>
      <w:pPr>
        <w:keepNext w:val="0"/>
        <w:keepLines w:val="0"/>
        <w:pageBreakBefore w:val="0"/>
        <w:widowControl w:val="0"/>
        <w:kinsoku/>
        <w:wordWrap/>
        <w:overflowPunct/>
        <w:topLinePunct w:val="0"/>
        <w:autoSpaceDE/>
        <w:autoSpaceDN/>
        <w:bidi w:val="0"/>
        <w:snapToGrid w:val="0"/>
        <w:spacing w:line="240" w:lineRule="auto"/>
        <w:ind w:right="0" w:rightChars="0" w:firstLine="555"/>
        <w:rPr>
          <w:rFonts w:hint="eastAsia" w:ascii="仿宋_GB2312" w:hAnsi="仿宋_GB2312" w:eastAsia="仿宋_GB2312" w:cs="仿宋_GB2312"/>
          <w:b w:val="0"/>
          <w:bCs w:val="0"/>
          <w:color w:val="FF0000"/>
          <w:sz w:val="21"/>
          <w:szCs w:val="21"/>
        </w:rPr>
      </w:pPr>
      <w:r>
        <w:rPr>
          <w:rFonts w:hint="eastAsia" w:ascii="仿宋_GB2312" w:hAnsi="仿宋_GB2312" w:eastAsia="仿宋_GB2312" w:cs="仿宋_GB2312"/>
          <w:b w:val="0"/>
          <w:bCs w:val="0"/>
          <w:sz w:val="21"/>
          <w:szCs w:val="21"/>
        </w:rPr>
        <w:t>三、与相关课程的联系与区别</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交通运输经济学与本专业其他课程密切相关，是其课程体系中的基础课程之一。该课程为学生后续课程的学习做准备，为进一步学习交通运输专业技能及知识打基础。学生如果具有微观经济学相关知识，将有助于本课程的学习。</w:t>
      </w:r>
    </w:p>
    <w:p>
      <w:pPr>
        <w:keepNext w:val="0"/>
        <w:keepLines w:val="0"/>
        <w:pageBreakBefore w:val="0"/>
        <w:widowControl w:val="0"/>
        <w:numPr>
          <w:ilvl w:val="0"/>
          <w:numId w:val="0"/>
        </w:numPr>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B0F0"/>
          <w:sz w:val="21"/>
          <w:szCs w:val="21"/>
        </w:rPr>
      </w:pPr>
      <w:r>
        <w:rPr>
          <w:rFonts w:hint="eastAsia" w:ascii="仿宋_GB2312" w:hAnsi="仿宋_GB2312" w:eastAsia="仿宋_GB2312" w:cs="仿宋_GB2312"/>
          <w:b w:val="0"/>
          <w:bCs w:val="0"/>
          <w:sz w:val="21"/>
          <w:szCs w:val="21"/>
          <w:lang w:val="en-US" w:eastAsia="zh-CN"/>
        </w:rPr>
        <w:t>四、课</w:t>
      </w:r>
      <w:r>
        <w:rPr>
          <w:rFonts w:hint="eastAsia" w:ascii="仿宋_GB2312" w:hAnsi="仿宋_GB2312" w:eastAsia="仿宋_GB2312" w:cs="仿宋_GB2312"/>
          <w:b w:val="0"/>
          <w:bCs w:val="0"/>
          <w:sz w:val="21"/>
          <w:szCs w:val="21"/>
        </w:rPr>
        <w:t>程的重点和难点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交通运输经济学本课程的重点内容是第二章、第三章、第四章、第五章、第七章、第八章，难点内容是第四章、第五章、第七章、第八章。各章具体的重点和难点在大纲后面均有明确说明。</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B0F0"/>
          <w:sz w:val="21"/>
          <w:szCs w:val="21"/>
        </w:rPr>
      </w:pPr>
    </w:p>
    <w:p>
      <w:pPr>
        <w:keepNext w:val="0"/>
        <w:keepLines w:val="0"/>
        <w:pageBreakBefore w:val="0"/>
        <w:widowControl w:val="0"/>
        <w:kinsoku/>
        <w:wordWrap/>
        <w:overflowPunct/>
        <w:topLinePunct w:val="0"/>
        <w:autoSpaceDE/>
        <w:autoSpaceDN/>
        <w:bidi w:val="0"/>
        <w:snapToGrid w:val="0"/>
        <w:spacing w:line="240" w:lineRule="auto"/>
        <w:ind w:right="0" w:rightChars="0" w:firstLine="422" w:firstLineChars="200"/>
        <w:jc w:val="center"/>
        <w:outlineLvl w:val="0"/>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Ⅱ  考核目标</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本大纲是“交通运输经济学”课程的个人自学、社会助学和考试命题的依据，本课程的考试范围以本考试大纲所限定的内容为准。</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本大纲在考核目标中，按照识记、领会、简单应用和综合应用四个层次规定其应达到的能力层次要求。四个能力层次是递进关系，各能力层次的含义是：</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识记：要求考生能够识别和记忆交通运输经济学课程中有关知识点的概念性内容，并能够根据考核的不同要求，做出正确的表述、选择和判断。</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领会：要求考生在识记的基础上，能够领悟各知识点的内涵和外延，熟悉各知识点之间的区别与联系，能够根据相关知识点的特性来解决不同的问题；并能够进行简单的分析。</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简单应用：要求考生运用交通运输经济学的少量知识点，分析和解决一般的交通运输问题，例如，分析交通运输政策的优缺点等。</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综合应用：要求考生综合运用交通运输经济学的多个知识点，分析解决较复杂的交通运输经济学应用问题。</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p>
    <w:p>
      <w:pPr>
        <w:keepNext w:val="0"/>
        <w:keepLines w:val="0"/>
        <w:pageBreakBefore w:val="0"/>
        <w:widowControl w:val="0"/>
        <w:kinsoku/>
        <w:wordWrap/>
        <w:overflowPunct/>
        <w:topLinePunct w:val="0"/>
        <w:autoSpaceDE/>
        <w:autoSpaceDN/>
        <w:bidi w:val="0"/>
        <w:snapToGrid w:val="0"/>
        <w:spacing w:line="240" w:lineRule="auto"/>
        <w:ind w:right="0" w:rightChars="0" w:firstLine="422" w:firstLineChars="200"/>
        <w:jc w:val="center"/>
        <w:outlineLvl w:val="0"/>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Ⅲ  课程内容与考核要求</w:t>
      </w:r>
    </w:p>
    <w:p>
      <w:pPr>
        <w:keepNext w:val="0"/>
        <w:keepLines w:val="0"/>
        <w:pageBreakBefore w:val="0"/>
        <w:widowControl w:val="0"/>
        <w:kinsoku/>
        <w:wordWrap/>
        <w:overflowPunct/>
        <w:topLinePunct w:val="0"/>
        <w:autoSpaceDE/>
        <w:autoSpaceDN/>
        <w:bidi w:val="0"/>
        <w:snapToGrid w:val="0"/>
        <w:spacing w:line="240" w:lineRule="auto"/>
        <w:ind w:left="562" w:right="0" w:rightChars="0"/>
        <w:jc w:val="center"/>
        <w:outlineLvl w:val="1"/>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 xml:space="preserve">第一章 </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引</w:t>
      </w:r>
      <w:r>
        <w:rPr>
          <w:rFonts w:hint="eastAsia" w:ascii="仿宋_GB2312" w:hAnsi="仿宋_GB2312" w:eastAsia="仿宋_GB2312" w:cs="仿宋_GB2312"/>
          <w:b w:val="0"/>
          <w:bCs w:val="0"/>
          <w:color w:val="000000" w:themeColor="text1"/>
          <w:sz w:val="21"/>
          <w:szCs w:val="21"/>
          <w14:textFill>
            <w14:solidFill>
              <w14:schemeClr w14:val="tx1"/>
            </w14:solidFill>
          </w14:textFill>
        </w:rPr>
        <w:t>言</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一、学习目的与要求</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本章简要介绍交通运输经济学，要求学生了解交通运输经济学的研究内容和特点、交通运输经济学的产生和发展、运输与经济增长。</w:t>
      </w:r>
    </w:p>
    <w:p>
      <w:pPr>
        <w:keepNext w:val="0"/>
        <w:keepLines w:val="0"/>
        <w:pageBreakBefore w:val="0"/>
        <w:widowControl w:val="0"/>
        <w:numPr>
          <w:ilvl w:val="0"/>
          <w:numId w:val="1"/>
        </w:numPr>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课程内容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1.1 运输的内涵及运输业的发展</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1.2 运输经济学的研究内容与特点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1.3 运输市场、运输与经济增长</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三、考核知识点与考核要求</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（一） 运输的内涵及运输业的发展</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识记：运输与交通的含义、关系</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（二）运输经济学的研究内容与特点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识记：运输经济学的研究内容</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领会：运输经济学的研究特点</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（三）运输市场、运输与经济增长</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识记：运输市场的概念</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领会：运输经济的复合指标</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四、本章重点、难点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本章的重点：运输和交通的含义、运输和交通的关系、运输经济学的研究内容、运输市场的概念</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本章的难点：运输经济学的复合指标</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B0F0"/>
          <w:sz w:val="21"/>
          <w:szCs w:val="21"/>
        </w:rPr>
      </w:pPr>
    </w:p>
    <w:p>
      <w:pPr>
        <w:keepNext w:val="0"/>
        <w:keepLines w:val="0"/>
        <w:pageBreakBefore w:val="0"/>
        <w:widowControl w:val="0"/>
        <w:numPr>
          <w:ilvl w:val="0"/>
          <w:numId w:val="2"/>
        </w:numPr>
        <w:kinsoku/>
        <w:wordWrap/>
        <w:overflowPunct/>
        <w:topLinePunct w:val="0"/>
        <w:autoSpaceDE/>
        <w:autoSpaceDN/>
        <w:bidi w:val="0"/>
        <w:snapToGrid w:val="0"/>
        <w:spacing w:line="240" w:lineRule="auto"/>
        <w:ind w:right="0" w:rightChars="0"/>
        <w:jc w:val="center"/>
        <w:outlineLvl w:val="1"/>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运输需求</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本章介绍运输需求的生成、货物运输需求、旅客运输需求、运输需求弹性</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本章要求熟悉货物运输需求的基本概念和影响因素、旅客运输需求的基本概念和影响因素、运输需求弹性的基本概念和计算方法</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numPr>
          <w:ilvl w:val="0"/>
          <w:numId w:val="1"/>
        </w:numPr>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课程内容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2.1 运输需求的生成</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2.2 货物运输需求</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2.3 旅客运输需求</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2.4 运输需求弹性</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三、考核知识点与考核要求</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（一） 运输需求的生成</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识记：运输需求的派生性</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领会：运输需求曲线的含义、运输需求与运输需求量的差异</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简单应用：运输需求曲线的计算</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（二）货物运输需求</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识记：货物运输需求函数的定义</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领会：货物运输需求的影响因素</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（三）旅客运输需求</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识记：旅客运输需求的定义、运输需要的含义</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领会：旅行时间价值的含义、旅行时间价值的特点、旅客运输需求的影响因素</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（四） 运输需求弹性</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领会：货物运输需求的价格弹性的影响因素、旅客运输需求的价格弹性的影响因素</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简单应用：运输需求价格弹性的计算、运输需求收入弹性的计算、运输需求的交叉价格弹性的计算</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四、本章重点、难点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本章的重点：货物运输需求的定义、旅客运输需求的定义、货物运输需求的影响因素、旅客运输需求的影响因素、运输需求弹性、旅行时间价值的含义和特点</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本章的难点：运输需求弹性的概念和计算</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right="0" w:rightChars="0"/>
        <w:rPr>
          <w:rFonts w:hint="eastAsia" w:ascii="仿宋_GB2312" w:hAnsi="仿宋_GB2312" w:eastAsia="仿宋_GB2312" w:cs="仿宋_GB2312"/>
          <w:b w:val="0"/>
          <w:bCs w:val="0"/>
          <w:sz w:val="21"/>
          <w:szCs w:val="21"/>
        </w:rPr>
      </w:pPr>
    </w:p>
    <w:p>
      <w:pPr>
        <w:keepNext w:val="0"/>
        <w:keepLines w:val="0"/>
        <w:pageBreakBefore w:val="0"/>
        <w:widowControl w:val="0"/>
        <w:kinsoku/>
        <w:wordWrap/>
        <w:overflowPunct/>
        <w:topLinePunct w:val="0"/>
        <w:autoSpaceDE/>
        <w:autoSpaceDN/>
        <w:bidi w:val="0"/>
        <w:snapToGrid w:val="0"/>
        <w:spacing w:line="240" w:lineRule="auto"/>
        <w:ind w:right="0" w:rightChars="0"/>
        <w:jc w:val="center"/>
        <w:outlineLvl w:val="1"/>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第三章 运输供给</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本章介绍运输成本、运输供给曲线与运输供给弹性、运输业的网络经济、不同运输方式的成本</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本章要求熟悉运输成本的概念、运输供给曲线的含义、运输供给弹性的概念和计算、运输业的网络经济的内涵、不同运输方式的成本的内涵</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numPr>
          <w:ilvl w:val="0"/>
          <w:numId w:val="1"/>
        </w:numPr>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课程内容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3.1 运输成本</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3.2 运输供给曲线与运输供给弹性</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3.3 运输业的网络经济</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3.4 不同运输方式的成本数据</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三、考核知识点与考核要求</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（一） 运输成本</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识记：运输成本的分类</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领会：运输成本曲线及特点</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（二）运输供给曲线与运输供给弹性</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识记：运输供给的含义</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领会：运输供给的特点、运输供给的影响因素、运输供给曲线的含义、运输供给与运输供给量的差异、运输供给价格弹性的影响因素和特点</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239" w:leftChars="114" w:right="0" w:rightChars="0" w:firstLine="210" w:firstLineChars="100"/>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简单应用：运输供给价格弹性的计算</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（三）运输业的网络经济</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识记：运输规模经济的含义、运输密度经济的含义、运输距离经济的含义、增量成本的含义、边际成本的含义、联合成本的含义、共同成本的含义</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（四）不同运输方式的成本数据</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识记：铁路运输的优缺点、公路运输的优缺点、水路运输的优缺点、航空运输的优缺点、管道运输的优缺点</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B0F0"/>
          <w:sz w:val="21"/>
          <w:szCs w:val="21"/>
          <w:lang w:eastAsia="zh-CN"/>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领会：铁路运输的成本构成、公路运输的成本构成、水路运输的成本构成、航空运输的成本构成、管道运输的成本构成</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四、本章重点、难点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本章的重点：运输成本曲线、运输供给弹性、运输的网络经济</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本章的难点：运输供给弹性、不同运输方式的成本数据</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right="0" w:rightChars="0"/>
        <w:rPr>
          <w:rFonts w:hint="eastAsia" w:ascii="仿宋_GB2312" w:hAnsi="仿宋_GB2312" w:eastAsia="仿宋_GB2312" w:cs="仿宋_GB2312"/>
          <w:b w:val="0"/>
          <w:bCs w:val="0"/>
          <w:sz w:val="21"/>
          <w:szCs w:val="21"/>
        </w:rPr>
      </w:pPr>
    </w:p>
    <w:p>
      <w:pPr>
        <w:keepNext w:val="0"/>
        <w:keepLines w:val="0"/>
        <w:pageBreakBefore w:val="0"/>
        <w:widowControl w:val="0"/>
        <w:kinsoku/>
        <w:wordWrap/>
        <w:overflowPunct/>
        <w:topLinePunct w:val="0"/>
        <w:autoSpaceDE/>
        <w:autoSpaceDN/>
        <w:bidi w:val="0"/>
        <w:snapToGrid w:val="0"/>
        <w:spacing w:line="240" w:lineRule="auto"/>
        <w:ind w:left="562" w:right="0" w:rightChars="0"/>
        <w:jc w:val="center"/>
        <w:outlineLvl w:val="1"/>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第四章 运输定价</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本章介绍运输定价的基本原理、固定运输设施成本的分摊、价格歧视与收益管理</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本章要求理解运输定价的基本原理，理解固定运输设施成本的分摊，熟悉价格歧视与收益管理。</w:t>
      </w:r>
    </w:p>
    <w:p>
      <w:pPr>
        <w:keepNext w:val="0"/>
        <w:keepLines w:val="0"/>
        <w:pageBreakBefore w:val="0"/>
        <w:widowControl w:val="0"/>
        <w:numPr>
          <w:ilvl w:val="0"/>
          <w:numId w:val="1"/>
        </w:numPr>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课程内容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4.1 定价的基本原理</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4.2 固定运输设施成本的分摊</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4.3 价格歧视与收益管理</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三、考核知识点与考核要求</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pPr>
      <w:r>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t>（一） 定价的基本原理</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t>领会：联合成本定价的基本原理；拥挤收费的基本原理</w:t>
      </w:r>
      <w:r>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t>简单应用：拥挤收费的实际应用</w:t>
      </w:r>
      <w:r>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pPr>
      <w:r>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t>（二）固定运输设施成本的分摊</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t>识记：均摊法与高峰定价法</w:t>
      </w:r>
      <w:r>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t>领会：互不补贴定价原理</w:t>
      </w:r>
      <w:r>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pPr>
      <w:r>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t>（三）价格歧视与受益管理</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t>综合运用：价格歧视、拉姆齐定价法、收益管理、高峰定价</w:t>
      </w:r>
      <w:r>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四、本章重点、难点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本章的重点：联合定价的基本原理；拥挤收费的基本原理；互不补贴定价原理；价格歧视；拉姆齐定价法；收益管理；高峰定价</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本章的难点：联合成本定价的基本原理；互不补贴定价原理；拉姆齐定价法、收益管理；高峰定价</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B0F0"/>
          <w:sz w:val="21"/>
          <w:szCs w:val="21"/>
        </w:rPr>
      </w:pPr>
    </w:p>
    <w:p>
      <w:pPr>
        <w:keepNext w:val="0"/>
        <w:keepLines w:val="0"/>
        <w:pageBreakBefore w:val="0"/>
        <w:widowControl w:val="0"/>
        <w:kinsoku/>
        <w:wordWrap/>
        <w:overflowPunct/>
        <w:topLinePunct w:val="0"/>
        <w:autoSpaceDE/>
        <w:autoSpaceDN/>
        <w:bidi w:val="0"/>
        <w:snapToGrid w:val="0"/>
        <w:spacing w:line="240" w:lineRule="auto"/>
        <w:ind w:left="562" w:right="0" w:rightChars="0"/>
        <w:jc w:val="center"/>
        <w:outlineLvl w:val="1"/>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第五章 运输市场结构</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本章介绍运输市场的分类和竞争结构、铁路运输市场特征、公路运输市场特征、航空运输市场特征、定期运输服务的市场势力</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本章要求熟悉各类运输市场的特征以及市场势力</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56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二、课程内容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5.1 运输市场的分类和竞争结构</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5.2 上下一体化的运输方式</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5.3 基本不拥有固定运输设施的运输方式</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5.4 拥有部分固定运输设施的运输方式</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5.5 定期运输市场的市场势力</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三、考核知识点与考核要求</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pPr>
      <w:r>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t>（一）运输市场的分类和竞争结构</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t>识记：运输市场的分类、运输市场的竞争结构</w:t>
      </w:r>
      <w:r>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pPr>
      <w:r>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t>（二）上下一体化的运输方式</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t>领会：铁路运输成本分摊的困难、铁路为何很难获取超额垄断利润、铁路运输方式的变革</w:t>
      </w:r>
      <w:r>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pPr>
      <w:r>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t>（三）基本不拥有固定运输设施的运输方式</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t>领会：过度竞争问题</w:t>
      </w:r>
      <w:r>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pPr>
      <w:r>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t>（四）拥有部分固定运输设施的运输方式</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t>领会：垄断竞争市场的行为特征</w:t>
      </w:r>
      <w:r>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pPr>
      <w:r>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t>（五）定期运输市场的市场势力</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t>领会：航空运输市场的细分与定价、公路零担货运市场的细分与定价</w:t>
      </w:r>
      <w:r>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t>综合应用：市场操纵力的判断</w:t>
      </w:r>
      <w:r>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四、本章重点、难点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本章的重点：运输市场的分类和竞争结构</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本章的难点：市场操纵力的判断</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B0F0"/>
          <w:sz w:val="21"/>
          <w:szCs w:val="21"/>
        </w:rPr>
      </w:pPr>
    </w:p>
    <w:p>
      <w:pPr>
        <w:keepNext w:val="0"/>
        <w:keepLines w:val="0"/>
        <w:pageBreakBefore w:val="0"/>
        <w:widowControl w:val="0"/>
        <w:kinsoku/>
        <w:wordWrap/>
        <w:overflowPunct/>
        <w:topLinePunct w:val="0"/>
        <w:autoSpaceDE/>
        <w:autoSpaceDN/>
        <w:bidi w:val="0"/>
        <w:snapToGrid w:val="0"/>
        <w:spacing w:line="240" w:lineRule="auto"/>
        <w:ind w:left="562" w:right="0" w:rightChars="0"/>
        <w:jc w:val="center"/>
        <w:outlineLvl w:val="1"/>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第六章 运输业的投资与评价</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本章介绍投资评价方法、固定运输设施的筹资方式</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本章要求学生掌握投资评价方法、固定运输设施的筹资方式。</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二、课程内容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6.1 投资评价的方法</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6.2 固定运输设施的筹资方式</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三、考核知识点与考核要求</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（一） 投资评价的方法</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识记：净现值方法</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简单应用：经济学的投资评价准则</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二</w:t>
      </w:r>
      <w:r>
        <w:rPr>
          <w:rFonts w:hint="eastAsia" w:ascii="仿宋_GB2312" w:hAnsi="仿宋_GB2312" w:eastAsia="仿宋_GB2312" w:cs="仿宋_GB2312"/>
          <w:b w:val="0"/>
          <w:bCs w:val="0"/>
          <w:color w:val="000000" w:themeColor="text1"/>
          <w:sz w:val="21"/>
          <w:szCs w:val="21"/>
          <w14:textFill>
            <w14:solidFill>
              <w14:schemeClr w14:val="tx1"/>
            </w14:solidFill>
          </w14:textFill>
        </w:rPr>
        <w:t>）固定运输设施的筹资方式</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领会：BOT模式的概念、优缺点；TOT模式的</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概念</w:t>
      </w:r>
      <w:r>
        <w:rPr>
          <w:rFonts w:hint="eastAsia" w:ascii="仿宋_GB2312" w:hAnsi="仿宋_GB2312" w:eastAsia="仿宋_GB2312" w:cs="仿宋_GB2312"/>
          <w:b w:val="0"/>
          <w:bCs w:val="0"/>
          <w:color w:val="000000" w:themeColor="text1"/>
          <w:sz w:val="21"/>
          <w:szCs w:val="21"/>
          <w14:textFill>
            <w14:solidFill>
              <w14:schemeClr w14:val="tx1"/>
            </w14:solidFill>
          </w14:textFill>
        </w:rPr>
        <w:t>、优缺点；PPP模式的概念、优缺点；可行性研究的概念</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21"/>
          <w:szCs w:val="21"/>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四、本章重点、难点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本章的重点：投资评价的方法；BOT、TOT与PPP模式的优缺点</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本章的难点：BOT、TOT与PPP模式的优缺点</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p>
    <w:p>
      <w:pPr>
        <w:keepNext w:val="0"/>
        <w:keepLines w:val="0"/>
        <w:pageBreakBefore w:val="0"/>
        <w:widowControl w:val="0"/>
        <w:numPr>
          <w:ilvl w:val="0"/>
          <w:numId w:val="3"/>
        </w:numPr>
        <w:kinsoku/>
        <w:wordWrap/>
        <w:overflowPunct/>
        <w:topLinePunct w:val="0"/>
        <w:autoSpaceDE/>
        <w:autoSpaceDN/>
        <w:bidi w:val="0"/>
        <w:snapToGrid w:val="0"/>
        <w:spacing w:line="240" w:lineRule="auto"/>
        <w:ind w:left="562" w:right="0" w:rightChars="0"/>
        <w:jc w:val="center"/>
        <w:outlineLvl w:val="1"/>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运输管制</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本章介绍管制与管制经济学的若干理论、运输管制的含义与内容、运输管制与放松管制、运输企业的改革与运输政策。</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本章要求熟悉了解管制的基本理论、管制的分类与对象、价格管制机制；熟悉运输管制的含义与内容；理解运输管制的作用；熟悉我国运输体制改革。</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二、课程内容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7.1 管制与管制经济学的若干理论</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7.2 运输管制的含义与内容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7.3 运输管制与放松管制</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7.4 运输企业的改革与运输政策</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三、考核知识点与考核要求</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pPr>
      <w:r>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t>（一） 管制与管制经济学的若干理论</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t>领会：管制的基本理论；管制的分类</w:t>
      </w:r>
      <w:r>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t>识记：管制的对象与手段</w:t>
      </w:r>
      <w:r>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t>简单应用：价格管制机制</w:t>
      </w:r>
      <w:r>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pPr>
      <w:r>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t>（二）运输管制的含义与内容</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t>领会：运输管制的含义</w:t>
      </w:r>
      <w:r>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t>简单应用：运输管制的内容</w:t>
      </w:r>
      <w:r>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pPr>
      <w:r>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t>（三）运输管制与放松管制</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t>综合应用：运输管制的作用；运输管制对不同运输方式的影响</w:t>
      </w:r>
      <w:r>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t>领会：运输业的放松管制</w:t>
      </w:r>
      <w:r>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pPr>
      <w:r>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t>（四）运输企业的改革与运输政策</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t>领会：我国运输体制改革</w:t>
      </w:r>
      <w:r>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四、本章重点、难点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本章的重点：运输管制的含义与内容；运输管制的作用；运输管制对不同运输方式的影响</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本章的难点：管制与管制经济学的若干理论</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right="0" w:rightChars="0"/>
        <w:rPr>
          <w:rFonts w:hint="eastAsia" w:ascii="仿宋_GB2312" w:hAnsi="仿宋_GB2312" w:eastAsia="仿宋_GB2312" w:cs="仿宋_GB2312"/>
          <w:b w:val="0"/>
          <w:bCs w:val="0"/>
          <w:sz w:val="21"/>
          <w:szCs w:val="21"/>
        </w:rPr>
      </w:pPr>
    </w:p>
    <w:p>
      <w:pPr>
        <w:keepNext w:val="0"/>
        <w:keepLines w:val="0"/>
        <w:pageBreakBefore w:val="0"/>
        <w:widowControl w:val="0"/>
        <w:numPr>
          <w:ilvl w:val="0"/>
          <w:numId w:val="3"/>
        </w:numPr>
        <w:kinsoku/>
        <w:wordWrap/>
        <w:overflowPunct/>
        <w:topLinePunct w:val="0"/>
        <w:autoSpaceDE/>
        <w:autoSpaceDN/>
        <w:bidi w:val="0"/>
        <w:snapToGrid w:val="0"/>
        <w:spacing w:line="240" w:lineRule="auto"/>
        <w:ind w:left="562" w:leftChars="0" w:right="0" w:rightChars="0" w:firstLine="0" w:firstLineChars="0"/>
        <w:jc w:val="center"/>
        <w:outlineLvl w:val="1"/>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运输的外部性与可持续发展</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本章介绍运输的外部性、外部性的币值估计、缓解交通拥堵的方法、解决运输外部性的市场和政府手段。</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本章要求熟悉外部性的含义、运输对环境的影响；理解外部性的内在化，以及外部性的价值估计；理解缓解交通拥堵的方法；掌握解决运输外部性的市场手段和政府手段。</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二、课程内容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8.1 运输的外部性</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8.2 外部性的币值估计</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8.3 缓解交通拥堵的方法</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8.4 解决运输外部性的市场和政府手段</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三、考核知识点与考核要求</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pPr>
      <w:r>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t>（一） 运输的外部性</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t>识记：运输的外部性</w:t>
      </w:r>
      <w:r>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t>简单应用：价格管制机制</w:t>
      </w:r>
      <w:r>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pPr>
      <w:r>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t>（二）外部性的币值估计</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t>简单应用：外部性的内在化</w:t>
      </w:r>
      <w:r>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t>领会：外部性的价值估计方法</w:t>
      </w:r>
      <w:r>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pPr>
      <w:r>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t>（三）缓解交通拥堵的方法</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t>综合应用：道路收费；停车费政策；运输补贴与外部性</w:t>
      </w:r>
      <w:r>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pPr>
      <w:r>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t>（四）解决运输外部性的市场和政府手段</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t>综合应用：科斯式方法——许可证交通；污染者付费的原则；运输外部性影响及内部化方法的类别</w:t>
      </w:r>
      <w:r>
        <w:rPr>
          <w:rFonts w:hint="eastAsia" w:ascii="仿宋_GB2312" w:hAnsi="仿宋_GB2312" w:eastAsia="仿宋_GB2312" w:cs="仿宋_GB2312"/>
          <w:b w:val="0"/>
          <w:bCs w:val="0"/>
          <w:color w:val="000000" w:themeColor="text1"/>
          <w:sz w:val="21"/>
          <w:szCs w:val="21"/>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四、本章重点、难点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本章的重点：运输的外部性；缓解交通拥堵的方法；解决运输外部性的市场和政府手段</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本章的难点：外部性的币值估计；解决运输外部性的市场和政府手段</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right="0" w:rightChars="0"/>
        <w:rPr>
          <w:rFonts w:hint="eastAsia" w:ascii="仿宋_GB2312" w:hAnsi="仿宋_GB2312" w:eastAsia="仿宋_GB2312" w:cs="仿宋_GB2312"/>
          <w:b w:val="0"/>
          <w:bCs w:val="0"/>
          <w:sz w:val="21"/>
          <w:szCs w:val="21"/>
        </w:rPr>
      </w:pPr>
    </w:p>
    <w:p>
      <w:pPr>
        <w:keepNext w:val="0"/>
        <w:keepLines w:val="0"/>
        <w:pageBreakBefore w:val="0"/>
        <w:widowControl w:val="0"/>
        <w:kinsoku/>
        <w:wordWrap/>
        <w:overflowPunct/>
        <w:topLinePunct w:val="0"/>
        <w:autoSpaceDE/>
        <w:autoSpaceDN/>
        <w:bidi w:val="0"/>
        <w:snapToGrid w:val="0"/>
        <w:spacing w:line="240" w:lineRule="auto"/>
        <w:ind w:right="0" w:rightChars="0" w:firstLine="422" w:firstLineChars="200"/>
        <w:jc w:val="center"/>
        <w:outlineLvl w:val="0"/>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Ⅳ  关于大纲的说明与考核实施要求</w:t>
      </w:r>
    </w:p>
    <w:p>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420" w:firstLineChars="200"/>
        <w:textAlignment w:val="baseline"/>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一、自学考试大纲的目的和作用</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课程自学考试大纲是根据专业自学考试计划的要求，结合自学考试的特点而确定。其目的是对个人自学、社会助学和课程考试命题进行指导和规定。</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课程自学考试大纲明确了课程学习的内容以及深广度，规定了课程自学考试的范围和标准。因此，它是编写自学考试教材和辅导书的依据，是社会助学组织进行自学辅导的依据，是自学者学习教材、掌握课程内容知识范围和程度的依据，也是进行自学考试命题的依据。</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二、课程自学考试大纲与教材的关系</w:t>
      </w:r>
    </w:p>
    <w:p>
      <w:pPr>
        <w:pStyle w:val="3"/>
        <w:keepNext w:val="0"/>
        <w:keepLines w:val="0"/>
        <w:pageBreakBefore w:val="0"/>
        <w:widowControl w:val="0"/>
        <w:kinsoku/>
        <w:wordWrap/>
        <w:overflowPunct/>
        <w:topLinePunct w:val="0"/>
        <w:autoSpaceDE/>
        <w:autoSpaceDN/>
        <w:bidi w:val="0"/>
        <w:snapToGrid w:val="0"/>
        <w:spacing w:after="0" w:line="240" w:lineRule="auto"/>
        <w:ind w:left="0" w:leftChars="0"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课程自学考试大纲是进行学习和考核的依据，教材给出了学习掌握课程知识的基本内容与范围，教材的内容还包括大纲所规定的课程知识的扩展与发挥。课程内容在教材中可以体现一定的深度或难度，但在大纲中对考核的要求一定要适当。</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大纲与教材所体现的课程内容基本一致；大纲里面的课程内容和考核知识点，教材里一般也要有。反过来教材里有的内容，大纲里就不一定体现。</w:t>
      </w:r>
    </w:p>
    <w:p>
      <w:pPr>
        <w:keepNext w:val="0"/>
        <w:keepLines w:val="0"/>
        <w:pageBreakBefore w:val="0"/>
        <w:widowControl w:val="0"/>
        <w:numPr>
          <w:ilvl w:val="0"/>
          <w:numId w:val="4"/>
        </w:numPr>
        <w:kinsoku/>
        <w:wordWrap/>
        <w:overflowPunct/>
        <w:topLinePunct w:val="0"/>
        <w:autoSpaceDE/>
        <w:autoSpaceDN/>
        <w:bidi w:val="0"/>
        <w:snapToGrid w:val="0"/>
        <w:spacing w:line="240" w:lineRule="auto"/>
        <w:ind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关于自学教材</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14:textFill>
            <w14:solidFill>
              <w14:schemeClr w14:val="tx1"/>
            </w14:solidFill>
          </w14:textFill>
        </w:rPr>
      </w:pPr>
      <w:bookmarkStart w:id="0" w:name="_GoBack"/>
      <w:r>
        <w:rPr>
          <w:rFonts w:hint="eastAsia" w:ascii="仿宋_GB2312" w:hAnsi="仿宋_GB2312" w:eastAsia="仿宋_GB2312" w:cs="仿宋_GB2312"/>
          <w:b w:val="0"/>
          <w:bCs w:val="0"/>
          <w:color w:val="000000" w:themeColor="text1"/>
          <w:sz w:val="21"/>
          <w:szCs w:val="21"/>
          <w14:textFill>
            <w14:solidFill>
              <w14:schemeClr w14:val="tx1"/>
            </w14:solidFill>
          </w14:textFill>
        </w:rPr>
        <w:t>《运输经济学》，唐可月编著，北京交通大学出版社，2019年</w:t>
      </w:r>
      <w:r>
        <w:rPr>
          <w:rFonts w:hint="eastAsia" w:ascii="仿宋_GB2312" w:hAnsi="仿宋_GB2312" w:eastAsia="仿宋_GB2312" w:cs="仿宋_GB2312"/>
          <w:b w:val="0"/>
          <w:bCs w:val="0"/>
          <w:color w:val="000000" w:themeColor="text1"/>
          <w:sz w:val="21"/>
          <w:szCs w:val="21"/>
          <w:lang w:val="en-US" w:eastAsia="zh-CN"/>
          <w14:textFill>
            <w14:solidFill>
              <w14:schemeClr w14:val="tx1"/>
            </w14:solidFill>
          </w14:textFill>
        </w:rPr>
        <w:t>版（2023年修订</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bookmarkEnd w:id="0"/>
      <w:r>
        <w:rPr>
          <w:rFonts w:hint="eastAsia" w:ascii="仿宋_GB2312" w:hAnsi="仿宋_GB2312" w:eastAsia="仿宋_GB2312" w:cs="仿宋_GB2312"/>
          <w:b w:val="0"/>
          <w:bCs w:val="0"/>
          <w:color w:val="000000" w:themeColor="text1"/>
          <w:sz w:val="21"/>
          <w:szCs w:val="21"/>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本教材第一章的第三节、第三章，第四章的第四节、第七章的第二节、第九章的第五节内容，考生可根据个人能力兴趣学习，不纳入考核范围。</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四、关于自学要求和自学方法的指导</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大纲的课程基本要求是依据专业考试计划和专业培养目标而确定的。课程基本要求还明确了课程的基本内容，以及对基本内容掌握的程度。基本要求中的知识点构成了课程内容的主体部分。因此，课程基本内容掌握程度、课程考核知识点是高等教育自学考试考核的主要内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为有效地指导个人自学和社会助学，本大纲已指明了课程的重点和难点，在章节的基本要求中一般也指明了章节内容的重点和难点。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由于成人学习的个性化特点，建议业余自学时间不低于96个学时。</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建议学习本课程时注意以下几点：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1.在学习本课程教材之前，应先仔细阅读本大纲，了解本课程的性质和特点，熟知本课程的基本要求，在学习本课程时，能紧紧围绕本课程的基本要求。</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2.在自学每一章的教材之前，先阅读本大纲中对应章节的学习目的与要求、考核知识点与考核要求，以使在自学时做到心中有数。</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3.把学习基本理论、基本知识与分析、解决实际问题结合起来。首先，要弄懂基本理论、基本原理、基本知识和基本方法；其次，要学习运用这些知识联系实际解决有关实际问题。重点是要深刻领会教材内容，将知识转化为能力，提高运用知识分析问题和解决问题的能力。</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4.交通运输经济学中涉及大量微观经济学方面的知识，考生如果掌握微观经济学的相关知识，会有助于本课程知识的理解。中国大学生mooc网等网站有微观经济学、交通运输经济学的视频课程，考生</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可以</w:t>
      </w:r>
      <w:r>
        <w:rPr>
          <w:rFonts w:hint="eastAsia" w:ascii="仿宋_GB2312" w:hAnsi="仿宋_GB2312" w:eastAsia="仿宋_GB2312" w:cs="仿宋_GB2312"/>
          <w:b w:val="0"/>
          <w:bCs w:val="0"/>
          <w:color w:val="000000" w:themeColor="text1"/>
          <w:sz w:val="21"/>
          <w:szCs w:val="21"/>
          <w14:textFill>
            <w14:solidFill>
              <w14:schemeClr w14:val="tx1"/>
            </w14:solidFill>
          </w14:textFill>
        </w:rPr>
        <w:t>通过这些视频进行学习</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5B9BD5" w:themeColor="accent1"/>
          <w:sz w:val="21"/>
          <w:szCs w:val="21"/>
          <w14:textFill>
            <w14:solidFill>
              <w14:schemeClr w14:val="accent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5.考试前梳理已经学习过的内容，搞清楚一些基本概念、理论及方法之间的关系，便于记忆、加深理解，从而掌握分析方法。例如第八章，首先明确外部性、运输外部性的含义；在此基础上理解如何估算外部性；最后掌握降低运输外部性的方法和手段。</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eastAsia="zh-CN"/>
        </w:rPr>
        <w:t>五</w:t>
      </w:r>
      <w:r>
        <w:rPr>
          <w:rFonts w:hint="eastAsia" w:ascii="仿宋_GB2312" w:hAnsi="仿宋_GB2312" w:eastAsia="仿宋_GB2312" w:cs="仿宋_GB2312"/>
          <w:b w:val="0"/>
          <w:bCs w:val="0"/>
          <w:sz w:val="21"/>
          <w:szCs w:val="21"/>
        </w:rPr>
        <w:t>、对社会助学的要求</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对担任本课程自学助学的任课教师和自学助学单位提出以下几条基本要求。</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1.熟知本课程考试大纲的各项要求，熟悉各章节的考核知识点。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2.辅导教学以大纲为依据，不要随意删减内容，以免偏离大纲。</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3.辅导还要注意突出重点，要帮助学生对课程内容建立一个整体的概念。</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4.本课程涉及微观经济学的知识较多，学生了解微观经济学的知识将有助于对本课程内容的理解。如果学生没有学习过微观经济学，助学者在辅导时，应该增加一些微观经济学方面的知识介绍，包括需求、供给、弹性、市场管制、市场结构等内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5.助学者在辅导时应帮助自学者梳理重点内容和一般内容之间的关系，在他们全面掌握全部考试内容的基础上，深入运输需求、运输供给、运输定价、运输市场结构、运输业的投资与评价等重点内容，注意本课程内容的系统性。</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6.交通运输经济学是理论研究与工程实践紧密结合的一门课程，助学者应帮助自学者了解运输需求、运输供给、运输定价、运输市场结构等基础知识和分析和评价方法的应用，适当增加一些例解培养自学者对方法应用的兴趣，深入理解基础理论，提高他们的分析应用能力。</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建议本课程考纲内容学时如下：</w:t>
      </w:r>
    </w:p>
    <w:tbl>
      <w:tblPr>
        <w:tblStyle w:val="10"/>
        <w:tblW w:w="7726" w:type="dxa"/>
        <w:tblInd w:w="5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4178"/>
        <w:gridCol w:w="1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5"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章次</w:t>
            </w:r>
          </w:p>
        </w:tc>
        <w:tc>
          <w:tcPr>
            <w:tcW w:w="4178"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学习内容</w:t>
            </w:r>
          </w:p>
        </w:tc>
        <w:tc>
          <w:tcPr>
            <w:tcW w:w="1993"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5"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第1章</w:t>
            </w:r>
          </w:p>
        </w:tc>
        <w:tc>
          <w:tcPr>
            <w:tcW w:w="4178"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引言</w:t>
            </w:r>
          </w:p>
        </w:tc>
        <w:tc>
          <w:tcPr>
            <w:tcW w:w="1993"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5"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第2章</w:t>
            </w:r>
          </w:p>
        </w:tc>
        <w:tc>
          <w:tcPr>
            <w:tcW w:w="4178"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运输需求</w:t>
            </w:r>
          </w:p>
        </w:tc>
        <w:tc>
          <w:tcPr>
            <w:tcW w:w="1993"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5"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第3章</w:t>
            </w:r>
          </w:p>
        </w:tc>
        <w:tc>
          <w:tcPr>
            <w:tcW w:w="4178"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运输供给</w:t>
            </w:r>
          </w:p>
        </w:tc>
        <w:tc>
          <w:tcPr>
            <w:tcW w:w="1993"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5"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第4章</w:t>
            </w:r>
          </w:p>
        </w:tc>
        <w:tc>
          <w:tcPr>
            <w:tcW w:w="4178"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运输定价</w:t>
            </w:r>
          </w:p>
        </w:tc>
        <w:tc>
          <w:tcPr>
            <w:tcW w:w="1993"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5"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第5章</w:t>
            </w:r>
          </w:p>
        </w:tc>
        <w:tc>
          <w:tcPr>
            <w:tcW w:w="4178"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运输市场结构</w:t>
            </w:r>
          </w:p>
        </w:tc>
        <w:tc>
          <w:tcPr>
            <w:tcW w:w="1993"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5"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第6章</w:t>
            </w:r>
          </w:p>
        </w:tc>
        <w:tc>
          <w:tcPr>
            <w:tcW w:w="4178"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运输业的投资与评价</w:t>
            </w:r>
          </w:p>
        </w:tc>
        <w:tc>
          <w:tcPr>
            <w:tcW w:w="1993"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5"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第7章</w:t>
            </w:r>
          </w:p>
        </w:tc>
        <w:tc>
          <w:tcPr>
            <w:tcW w:w="4178"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运输管制</w:t>
            </w:r>
          </w:p>
        </w:tc>
        <w:tc>
          <w:tcPr>
            <w:tcW w:w="1993"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55"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第8章</w:t>
            </w:r>
          </w:p>
        </w:tc>
        <w:tc>
          <w:tcPr>
            <w:tcW w:w="4178"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运输的外部性与可持续发展</w:t>
            </w:r>
          </w:p>
        </w:tc>
        <w:tc>
          <w:tcPr>
            <w:tcW w:w="1993"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6</w:t>
            </w:r>
          </w:p>
        </w:tc>
      </w:tr>
    </w:tbl>
    <w:p>
      <w:pPr>
        <w:pStyle w:val="15"/>
        <w:keepNext w:val="0"/>
        <w:keepLines w:val="0"/>
        <w:pageBreakBefore w:val="0"/>
        <w:widowControl w:val="0"/>
        <w:kinsoku/>
        <w:wordWrap/>
        <w:overflowPunct/>
        <w:topLinePunct w:val="0"/>
        <w:autoSpaceDE/>
        <w:autoSpaceDN/>
        <w:bidi w:val="0"/>
        <w:snapToGrid w:val="0"/>
        <w:spacing w:line="240" w:lineRule="auto"/>
        <w:ind w:right="0" w:rightChars="0" w:firstLine="562"/>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eastAsia="zh-CN"/>
        </w:rPr>
        <w:t>六</w:t>
      </w:r>
      <w:r>
        <w:rPr>
          <w:rFonts w:hint="eastAsia" w:ascii="仿宋_GB2312" w:hAnsi="仿宋_GB2312" w:eastAsia="仿宋_GB2312" w:cs="仿宋_GB2312"/>
          <w:b w:val="0"/>
          <w:bCs w:val="0"/>
          <w:sz w:val="21"/>
          <w:szCs w:val="21"/>
        </w:rPr>
        <w:t>、对考核内容的说明</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 本课程要求考生学习和掌握的知识点内容都作为考核的内容。课程中各章的内容均由若干知识点组成，在自学考试中成为考核知识点。因此，课程自学考试大纲中所规定的考试内容是以分解为考核知识点的方式给出的。由于各知识点在课程中的地位、作用以及知识自身的特点不同，自学考试将对各知识点分别按四个认知层次确定其考核要求。</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auto"/>
          <w:sz w:val="21"/>
          <w:szCs w:val="21"/>
        </w:rPr>
      </w:pPr>
      <w:r>
        <w:rPr>
          <w:rFonts w:hint="eastAsia" w:ascii="仿宋_GB2312" w:hAnsi="仿宋_GB2312" w:eastAsia="仿宋_GB2312" w:cs="仿宋_GB2312"/>
          <w:b w:val="0"/>
          <w:bCs w:val="0"/>
          <w:sz w:val="21"/>
          <w:szCs w:val="21"/>
        </w:rPr>
        <w:t>2. 在考试之日起6个月前，由全国人民代表大会和国务院颁布或修订的法律、法规都将列入相应课程的考试范围。凡大纲、教材内容与现行法律、法规不符的，应以现行法律法规为准。命题时也会对我国经济建设和科技文化发展的重大方针政策的变化予以体现。</w:t>
      </w:r>
    </w:p>
    <w:p>
      <w:pPr>
        <w:pStyle w:val="15"/>
        <w:keepNext w:val="0"/>
        <w:keepLines w:val="0"/>
        <w:pageBreakBefore w:val="0"/>
        <w:widowControl w:val="0"/>
        <w:kinsoku/>
        <w:wordWrap/>
        <w:overflowPunct/>
        <w:topLinePunct w:val="0"/>
        <w:autoSpaceDE/>
        <w:autoSpaceDN/>
        <w:bidi w:val="0"/>
        <w:snapToGrid w:val="0"/>
        <w:spacing w:line="240" w:lineRule="auto"/>
        <w:ind w:right="0" w:rightChars="0" w:firstLine="562"/>
        <w:rPr>
          <w:rFonts w:hint="eastAsia" w:ascii="仿宋_GB2312" w:hAnsi="仿宋_GB2312" w:eastAsia="仿宋_GB2312" w:cs="仿宋_GB2312"/>
          <w:b w:val="0"/>
          <w:bCs w:val="0"/>
          <w:color w:val="auto"/>
          <w:sz w:val="21"/>
          <w:szCs w:val="21"/>
        </w:rPr>
      </w:pPr>
      <w:r>
        <w:rPr>
          <w:rFonts w:hint="eastAsia" w:ascii="仿宋_GB2312" w:hAnsi="仿宋_GB2312" w:eastAsia="仿宋_GB2312" w:cs="仿宋_GB2312"/>
          <w:b w:val="0"/>
          <w:bCs w:val="0"/>
          <w:sz w:val="21"/>
          <w:szCs w:val="21"/>
          <w:lang w:eastAsia="zh-CN"/>
        </w:rPr>
        <w:t>七</w:t>
      </w:r>
      <w:r>
        <w:rPr>
          <w:rFonts w:hint="eastAsia" w:ascii="仿宋_GB2312" w:hAnsi="仿宋_GB2312" w:eastAsia="仿宋_GB2312" w:cs="仿宋_GB2312"/>
          <w:b w:val="0"/>
          <w:bCs w:val="0"/>
          <w:sz w:val="21"/>
          <w:szCs w:val="21"/>
        </w:rPr>
        <w:t>、关于考试命题的若干规定</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FF0000"/>
          <w:sz w:val="21"/>
          <w:szCs w:val="21"/>
        </w:rPr>
      </w:pPr>
      <w:r>
        <w:rPr>
          <w:rFonts w:hint="eastAsia" w:ascii="仿宋_GB2312" w:hAnsi="仿宋_GB2312" w:eastAsia="仿宋_GB2312" w:cs="仿宋_GB2312"/>
          <w:b w:val="0"/>
          <w:bCs w:val="0"/>
          <w:sz w:val="21"/>
          <w:szCs w:val="21"/>
        </w:rPr>
        <w:t>1.本课程考试采用闭卷笔试方式考核，考试时间150分钟</w:t>
      </w:r>
      <w:r>
        <w:rPr>
          <w:rFonts w:hint="eastAsia" w:ascii="仿宋_GB2312" w:hAnsi="仿宋_GB2312" w:eastAsia="仿宋_GB2312" w:cs="仿宋_GB2312"/>
          <w:b w:val="0"/>
          <w:bCs w:val="0"/>
          <w:sz w:val="21"/>
          <w:szCs w:val="21"/>
          <w:lang w:eastAsia="zh-CN"/>
        </w:rPr>
        <w:t>，</w:t>
      </w:r>
      <w:r>
        <w:rPr>
          <w:rFonts w:hint="eastAsia" w:ascii="仿宋_GB2312" w:hAnsi="仿宋_GB2312" w:eastAsia="仿宋_GB2312" w:cs="仿宋_GB2312"/>
          <w:b w:val="0"/>
          <w:bCs w:val="0"/>
          <w:sz w:val="21"/>
          <w:szCs w:val="21"/>
          <w:lang w:val="en-US" w:eastAsia="zh-CN"/>
        </w:rPr>
        <w:t>满分100分,60分及格</w:t>
      </w:r>
      <w:r>
        <w:rPr>
          <w:rFonts w:hint="eastAsia" w:ascii="仿宋_GB2312" w:hAnsi="仿宋_GB2312" w:eastAsia="仿宋_GB2312" w:cs="仿宋_GB2312"/>
          <w:b w:val="0"/>
          <w:bCs w:val="0"/>
          <w:sz w:val="21"/>
          <w:szCs w:val="21"/>
        </w:rPr>
        <w:t>。考试时只允许携带笔、橡皮和尺，答卷必须使用蓝色或黑色钢笔或签字笔书写。</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2.本大纲各章所规定的基本要求、知识点及知识点下的知识细目，都属于考核的内容。考试命题既要覆盖到章，又要避免面面俱到。要注意突出课程的重点、章节重点，加大重点内容的覆盖度。</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不应命制超出大纲中考核知识点范围的题目，考核目标不得高于大纲中所规定的相应的最高能力层次要求。命题应着重考核自学者对基本概念、基本知识和基本理论是否了解或掌握，对基本方法是否会用或熟练。不应命制与基本要求不符的偏题或怪题。</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FF0000"/>
          <w:sz w:val="21"/>
          <w:szCs w:val="21"/>
        </w:rPr>
      </w:pPr>
      <w:r>
        <w:rPr>
          <w:rFonts w:hint="eastAsia" w:ascii="仿宋_GB2312" w:hAnsi="仿宋_GB2312" w:eastAsia="仿宋_GB2312" w:cs="仿宋_GB2312"/>
          <w:b w:val="0"/>
          <w:bCs w:val="0"/>
          <w:sz w:val="21"/>
          <w:szCs w:val="21"/>
        </w:rPr>
        <w:t>4.本课程在试卷中对不同能力层次要求的分数比例大致为：识记占20%，领会占30%，简单应用占30%，综合应用占20%。</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5.试题的难易程度分为4个等级：易、较易、较难和难四个等级。每份试卷中不同难度试题的分数比例一般为：易占20%，较易占30%，较难占20%，难占20%。</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必须注意试题的难易程度与能力层次有一定的联系，但两者不是等同的概念，在各个能力层次都有不同难度的试题。</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6.</w:t>
      </w:r>
      <w:r>
        <w:rPr>
          <w:rFonts w:hint="eastAsia" w:ascii="仿宋_GB2312" w:hAnsi="仿宋_GB2312" w:eastAsia="仿宋_GB2312" w:cs="仿宋_GB2312"/>
          <w:b w:val="0"/>
          <w:bCs w:val="0"/>
          <w:sz w:val="21"/>
          <w:szCs w:val="21"/>
        </w:rPr>
        <w:t>各种题型的具体样式参见本大纲附录。</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14:textFill>
            <w14:solidFill>
              <w14:schemeClr w14:val="tx1"/>
            </w14:solidFill>
          </w14:textFill>
        </w:rPr>
      </w:pPr>
    </w:p>
    <w:p>
      <w:pPr>
        <w:keepNext w:val="0"/>
        <w:keepLines w:val="0"/>
        <w:pageBreakBefore w:val="0"/>
        <w:widowControl w:val="0"/>
        <w:kinsoku/>
        <w:wordWrap/>
        <w:overflowPunct/>
        <w:topLinePunct w:val="0"/>
        <w:autoSpaceDE/>
        <w:autoSpaceDN/>
        <w:bidi w:val="0"/>
        <w:snapToGrid w:val="0"/>
        <w:spacing w:line="240" w:lineRule="auto"/>
        <w:ind w:right="0" w:rightChars="0"/>
        <w:jc w:val="center"/>
        <w:outlineLvl w:val="0"/>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V 题型举例</w:t>
      </w:r>
    </w:p>
    <w:p>
      <w:pPr>
        <w:keepNext w:val="0"/>
        <w:keepLines w:val="0"/>
        <w:pageBreakBefore w:val="0"/>
        <w:widowControl w:val="0"/>
        <w:kinsoku/>
        <w:wordWrap/>
        <w:overflowPunct/>
        <w:topLinePunct w:val="0"/>
        <w:autoSpaceDE/>
        <w:autoSpaceDN/>
        <w:bidi w:val="0"/>
        <w:snapToGrid w:val="0"/>
        <w:spacing w:line="240" w:lineRule="auto"/>
        <w:ind w:right="0" w:rightChars="0"/>
        <w:jc w:val="center"/>
        <w:outlineLvl w:val="0"/>
        <w:rPr>
          <w:rFonts w:hint="eastAsia" w:ascii="仿宋_GB2312" w:hAnsi="仿宋_GB2312" w:eastAsia="仿宋_GB2312" w:cs="仿宋_GB2312"/>
          <w:b w:val="0"/>
          <w:bCs w:val="0"/>
          <w:sz w:val="21"/>
          <w:szCs w:val="21"/>
        </w:rPr>
      </w:pP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一、单项选择题（在每小题后的4个备选项中只有一个是符合题目要求的，请将其选出并填写在题后的括号内）</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1.以下哪一类不属于运输成本的部分：</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A 固定运输设施成本      B 运营成本</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C 一定设备拥有成本      D 沉没成本</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二、名词解释题</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1. 运输需求的价格弹性</w:t>
      </w:r>
    </w:p>
    <w:p>
      <w:pPr>
        <w:keepNext w:val="0"/>
        <w:keepLines w:val="0"/>
        <w:pageBreakBefore w:val="0"/>
        <w:widowControl w:val="0"/>
        <w:kinsoku/>
        <w:wordWrap/>
        <w:overflowPunct/>
        <w:topLinePunct w:val="0"/>
        <w:autoSpaceDE/>
        <w:autoSpaceDN/>
        <w:bidi w:val="0"/>
        <w:snapToGrid w:val="0"/>
        <w:spacing w:line="240" w:lineRule="auto"/>
        <w:ind w:left="440" w:right="0" w:rightChars="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三、简答题</w:t>
      </w:r>
    </w:p>
    <w:p>
      <w:pPr>
        <w:keepNext w:val="0"/>
        <w:keepLines w:val="0"/>
        <w:pageBreakBefore w:val="0"/>
        <w:widowControl w:val="0"/>
        <w:kinsoku/>
        <w:wordWrap/>
        <w:overflowPunct/>
        <w:topLinePunct w:val="0"/>
        <w:autoSpaceDE/>
        <w:autoSpaceDN/>
        <w:bidi w:val="0"/>
        <w:snapToGrid w:val="0"/>
        <w:spacing w:line="240" w:lineRule="auto"/>
        <w:ind w:left="440" w:right="0" w:rightChars="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1.请解释增量成本与边际成本的异同</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四、论述题</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1.请解释BOT的含义，并说明BOT的优缺点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五、案例分析题</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0000" w:themeColor="text1"/>
          <w:sz w:val="21"/>
          <w:szCs w:val="21"/>
          <w14:textFill>
            <w14:solidFill>
              <w14:schemeClr w14:val="tx1"/>
            </w14:solidFill>
          </w14:textFill>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1.近日，为了治堵，某大城市政协向市委市政府提交了“城市建设既要重视行又要重视停”的主席建议案，建议城市中心区大力发展机械立体停车场，解决商业停车场建设少的矛盾。请从交通运输经济学的角度，评价以上</w:t>
      </w:r>
      <w:r>
        <w:rPr>
          <w:rFonts w:hint="eastAsia" w:ascii="仿宋_GB2312" w:hAnsi="仿宋_GB2312" w:eastAsia="仿宋_GB2312" w:cs="仿宋_GB2312"/>
          <w:b w:val="0"/>
          <w:bCs w:val="0"/>
          <w:color w:val="000000" w:themeColor="text1"/>
          <w:sz w:val="21"/>
          <w:szCs w:val="21"/>
          <w:lang w:eastAsia="zh-CN"/>
          <w14:textFill>
            <w14:solidFill>
              <w14:schemeClr w14:val="tx1"/>
            </w14:solidFill>
          </w14:textFill>
        </w:rPr>
        <w:t>建议案</w:t>
      </w:r>
      <w:r>
        <w:rPr>
          <w:rFonts w:hint="eastAsia" w:ascii="仿宋_GB2312" w:hAnsi="仿宋_GB2312" w:eastAsia="仿宋_GB2312" w:cs="仿宋_GB2312"/>
          <w:b w:val="0"/>
          <w:bCs w:val="0"/>
          <w:color w:val="000000" w:themeColor="text1"/>
          <w:sz w:val="21"/>
          <w:szCs w:val="21"/>
          <w14:textFill>
            <w14:solidFill>
              <w14:schemeClr w14:val="tx1"/>
            </w14:solidFill>
          </w14:textFill>
        </w:rPr>
        <w:t>的合理性。</w:t>
      </w:r>
    </w:p>
    <w:p>
      <w:pPr>
        <w:keepNext w:val="0"/>
        <w:keepLines w:val="0"/>
        <w:pageBreakBefore w:val="0"/>
        <w:widowControl w:val="0"/>
        <w:kinsoku/>
        <w:wordWrap/>
        <w:overflowPunct/>
        <w:topLinePunct w:val="0"/>
        <w:autoSpaceDE/>
        <w:autoSpaceDN/>
        <w:bidi w:val="0"/>
        <w:snapToGrid w:val="0"/>
        <w:spacing w:line="240" w:lineRule="auto"/>
        <w:ind w:right="0" w:rightChars="0"/>
        <w:rPr>
          <w:rFonts w:hint="eastAsia" w:ascii="仿宋_GB2312" w:hAnsi="仿宋_GB2312" w:eastAsia="仿宋_GB2312" w:cs="仿宋_GB2312"/>
          <w:b w:val="0"/>
          <w:bCs w:val="0"/>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Arial Unicode MS">
    <w:altName w:val="Arial"/>
    <w:panose1 w:val="020B0604020202020204"/>
    <w:charset w:val="00"/>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Arial Unicode MS">
    <w:altName w:val="Arial"/>
    <w:panose1 w:val="020B0604020202020204"/>
    <w:charset w:val="80"/>
    <w:family w:val="swiss"/>
    <w:pitch w:val="default"/>
    <w:sig w:usb0="00000000" w:usb1="00000000" w:usb2="0000003F" w:usb3="00000000" w:csb0="603F01FF" w:csb1="FFFF0000"/>
  </w:font>
  <w:font w:name="等线 Light">
    <w:panose1 w:val="02010600030101010101"/>
    <w:charset w:val="86"/>
    <w:family w:val="auto"/>
    <w:pitch w:val="default"/>
    <w:sig w:usb0="A00002BF" w:usb1="38CF7CFA" w:usb2="00000016" w:usb3="00000000" w:csb0="0004000F" w:csb1="00000000"/>
  </w:font>
  <w:font w:name="楷体_GB2312">
    <w:altName w:val="楷体"/>
    <w:panose1 w:val="020B0604020202020204"/>
    <w:charset w:val="86"/>
    <w:family w:val="modern"/>
    <w:pitch w:val="default"/>
    <w:sig w:usb0="00000000" w:usb1="00000000" w:usb2="00000010" w:usb3="00000000" w:csb0="00040001" w:csb1="0000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auto"/>
    <w:pitch w:val="default"/>
    <w:sig w:usb0="800002BF" w:usb1="38CF7CFA" w:usb2="00000016" w:usb3="00000000" w:csb0="00040001" w:csb1="00000000"/>
  </w:font>
  <w:font w:name="Arial">
    <w:panose1 w:val="020B0604020202020204"/>
    <w:charset w:val="80"/>
    <w:family w:val="swiss"/>
    <w:pitch w:val="default"/>
    <w:sig w:usb0="E0002EFF" w:usb1="C000785B" w:usb2="00000009" w:usb3="00000000" w:csb0="400001FF" w:csb1="FFFF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0000000000000000000"/>
    <w:charset w:val="00"/>
    <w:family w:val="auto"/>
    <w:pitch w:val="default"/>
    <w:sig w:usb0="00000000" w:usb1="00000000" w:usb2="00000000" w:usb3="00000000" w:csb0="00000000" w:csb1="00000000"/>
  </w:font>
  <w:font w:name="Helvetica">
    <w:altName w:val="Arial"/>
    <w:panose1 w:val="020B0604020202020204"/>
    <w:charset w:val="00"/>
    <w:family w:val="swiss"/>
    <w:pitch w:val="default"/>
    <w:sig w:usb0="00000000" w:usb1="00000000" w:usb2="00000009" w:usb3="00000000" w:csb0="0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F4D3F2"/>
    <w:multiLevelType w:val="singleLevel"/>
    <w:tmpl w:val="88F4D3F2"/>
    <w:lvl w:ilvl="0" w:tentative="0">
      <w:start w:val="3"/>
      <w:numFmt w:val="chineseCounting"/>
      <w:suff w:val="nothing"/>
      <w:lvlText w:val="%1、"/>
      <w:lvlJc w:val="left"/>
      <w:pPr>
        <w:ind w:left="440" w:firstLine="0"/>
      </w:pPr>
      <w:rPr>
        <w:rFonts w:hint="eastAsia"/>
      </w:rPr>
    </w:lvl>
  </w:abstractNum>
  <w:abstractNum w:abstractNumId="1">
    <w:nsid w:val="EA8275CB"/>
    <w:multiLevelType w:val="singleLevel"/>
    <w:tmpl w:val="EA8275CB"/>
    <w:lvl w:ilvl="0" w:tentative="0">
      <w:start w:val="2"/>
      <w:numFmt w:val="chineseCounting"/>
      <w:suff w:val="space"/>
      <w:lvlText w:val="第%1章"/>
      <w:lvlJc w:val="left"/>
      <w:rPr>
        <w:rFonts w:hint="eastAsia"/>
      </w:rPr>
    </w:lvl>
  </w:abstractNum>
  <w:abstractNum w:abstractNumId="2">
    <w:nsid w:val="3F410D9A"/>
    <w:multiLevelType w:val="singleLevel"/>
    <w:tmpl w:val="3F410D9A"/>
    <w:lvl w:ilvl="0" w:tentative="0">
      <w:start w:val="2"/>
      <w:numFmt w:val="chineseCounting"/>
      <w:suff w:val="nothing"/>
      <w:lvlText w:val="%1、"/>
      <w:lvlJc w:val="left"/>
      <w:rPr>
        <w:rFonts w:hint="eastAsia"/>
      </w:rPr>
    </w:lvl>
  </w:abstractNum>
  <w:abstractNum w:abstractNumId="3">
    <w:nsid w:val="535EB913"/>
    <w:multiLevelType w:val="singleLevel"/>
    <w:tmpl w:val="535EB913"/>
    <w:lvl w:ilvl="0" w:tentative="0">
      <w:start w:val="7"/>
      <w:numFmt w:val="chineseCounting"/>
      <w:suff w:val="space"/>
      <w:lvlText w:val="第%1章"/>
      <w:lvlJc w:val="left"/>
      <w:rPr>
        <w:rFonts w:hint="eastAsi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jE1MrEwszAxtDQyNDVR0lEKTi0uzszPAykwrgUAvavdeSwAAAA="/>
    <w:docVar w:name="commondata" w:val="eyJoZGlkIjoiYzIzNjhjZjkxMjg2OGJjOTQ0NThhNzBhOGI4YTVmYWYifQ=="/>
  </w:docVars>
  <w:rsids>
    <w:rsidRoot w:val="00C92696"/>
    <w:rsid w:val="000908C6"/>
    <w:rsid w:val="000B5906"/>
    <w:rsid w:val="000C1BA2"/>
    <w:rsid w:val="000D24CF"/>
    <w:rsid w:val="00156AE6"/>
    <w:rsid w:val="00166E63"/>
    <w:rsid w:val="001A5E8F"/>
    <w:rsid w:val="001B3AEC"/>
    <w:rsid w:val="001D19EF"/>
    <w:rsid w:val="001D5CBE"/>
    <w:rsid w:val="001E0A2D"/>
    <w:rsid w:val="002206D1"/>
    <w:rsid w:val="0024479C"/>
    <w:rsid w:val="00245291"/>
    <w:rsid w:val="00252D65"/>
    <w:rsid w:val="00281721"/>
    <w:rsid w:val="0029286F"/>
    <w:rsid w:val="002959D6"/>
    <w:rsid w:val="002F4B5C"/>
    <w:rsid w:val="00316906"/>
    <w:rsid w:val="00316E04"/>
    <w:rsid w:val="00317AEC"/>
    <w:rsid w:val="00317DAB"/>
    <w:rsid w:val="0032610D"/>
    <w:rsid w:val="00335EFD"/>
    <w:rsid w:val="003625BC"/>
    <w:rsid w:val="00363B4F"/>
    <w:rsid w:val="003A6D54"/>
    <w:rsid w:val="004063C9"/>
    <w:rsid w:val="00441614"/>
    <w:rsid w:val="004653CF"/>
    <w:rsid w:val="004A0538"/>
    <w:rsid w:val="004B1D18"/>
    <w:rsid w:val="004B7567"/>
    <w:rsid w:val="005113EF"/>
    <w:rsid w:val="0051470B"/>
    <w:rsid w:val="00515238"/>
    <w:rsid w:val="00521E8E"/>
    <w:rsid w:val="005A2D43"/>
    <w:rsid w:val="005B390B"/>
    <w:rsid w:val="005C1092"/>
    <w:rsid w:val="005C5552"/>
    <w:rsid w:val="006019AD"/>
    <w:rsid w:val="00645089"/>
    <w:rsid w:val="0065070E"/>
    <w:rsid w:val="006A34E5"/>
    <w:rsid w:val="006E0669"/>
    <w:rsid w:val="006E178D"/>
    <w:rsid w:val="007576F0"/>
    <w:rsid w:val="007654F2"/>
    <w:rsid w:val="0079097C"/>
    <w:rsid w:val="007916B6"/>
    <w:rsid w:val="007B61FD"/>
    <w:rsid w:val="007E2003"/>
    <w:rsid w:val="007F64EB"/>
    <w:rsid w:val="0080515C"/>
    <w:rsid w:val="00806CCF"/>
    <w:rsid w:val="00814A31"/>
    <w:rsid w:val="00837414"/>
    <w:rsid w:val="00921F89"/>
    <w:rsid w:val="00940282"/>
    <w:rsid w:val="0096123E"/>
    <w:rsid w:val="0096791A"/>
    <w:rsid w:val="00984CC3"/>
    <w:rsid w:val="009C3F7C"/>
    <w:rsid w:val="009C4C7C"/>
    <w:rsid w:val="009E00F7"/>
    <w:rsid w:val="00A538BE"/>
    <w:rsid w:val="00A71DE4"/>
    <w:rsid w:val="00A73DEC"/>
    <w:rsid w:val="00A909A9"/>
    <w:rsid w:val="00A91B44"/>
    <w:rsid w:val="00A96C22"/>
    <w:rsid w:val="00AB0C92"/>
    <w:rsid w:val="00AC2D4F"/>
    <w:rsid w:val="00AD02B6"/>
    <w:rsid w:val="00B0370B"/>
    <w:rsid w:val="00B06F6D"/>
    <w:rsid w:val="00B11C13"/>
    <w:rsid w:val="00B179E2"/>
    <w:rsid w:val="00B35F89"/>
    <w:rsid w:val="00B41A1B"/>
    <w:rsid w:val="00B506C4"/>
    <w:rsid w:val="00B65DC1"/>
    <w:rsid w:val="00B77307"/>
    <w:rsid w:val="00B8704B"/>
    <w:rsid w:val="00BB43CD"/>
    <w:rsid w:val="00BF3776"/>
    <w:rsid w:val="00BF68A1"/>
    <w:rsid w:val="00C07DF2"/>
    <w:rsid w:val="00C1710A"/>
    <w:rsid w:val="00C65037"/>
    <w:rsid w:val="00C92696"/>
    <w:rsid w:val="00C955A1"/>
    <w:rsid w:val="00C96CA2"/>
    <w:rsid w:val="00CE4CED"/>
    <w:rsid w:val="00CF3434"/>
    <w:rsid w:val="00CF6307"/>
    <w:rsid w:val="00D001A4"/>
    <w:rsid w:val="00D4592E"/>
    <w:rsid w:val="00DA064E"/>
    <w:rsid w:val="00DB27F3"/>
    <w:rsid w:val="00DD2D19"/>
    <w:rsid w:val="00DF3F39"/>
    <w:rsid w:val="00DF6F29"/>
    <w:rsid w:val="00E0472B"/>
    <w:rsid w:val="00E576E6"/>
    <w:rsid w:val="00EB2F5C"/>
    <w:rsid w:val="00EC566B"/>
    <w:rsid w:val="00EE551C"/>
    <w:rsid w:val="00EF2CAA"/>
    <w:rsid w:val="00EF6481"/>
    <w:rsid w:val="00F03DA0"/>
    <w:rsid w:val="00F24D0B"/>
    <w:rsid w:val="00F3218D"/>
    <w:rsid w:val="00F36FD7"/>
    <w:rsid w:val="00F86D18"/>
    <w:rsid w:val="00FA2495"/>
    <w:rsid w:val="00FA796D"/>
    <w:rsid w:val="00FF773E"/>
    <w:rsid w:val="01CC7E22"/>
    <w:rsid w:val="03577DA5"/>
    <w:rsid w:val="06712BB6"/>
    <w:rsid w:val="06A16EF5"/>
    <w:rsid w:val="0884385E"/>
    <w:rsid w:val="0B204BAA"/>
    <w:rsid w:val="0E0B38ED"/>
    <w:rsid w:val="0F957915"/>
    <w:rsid w:val="0FC974FB"/>
    <w:rsid w:val="0FCD5301"/>
    <w:rsid w:val="1170719A"/>
    <w:rsid w:val="18F558C8"/>
    <w:rsid w:val="19876DE5"/>
    <w:rsid w:val="1A7C004F"/>
    <w:rsid w:val="1A7D7923"/>
    <w:rsid w:val="1B2E6E70"/>
    <w:rsid w:val="1D7E5E8C"/>
    <w:rsid w:val="1DF27B5F"/>
    <w:rsid w:val="216E7FC6"/>
    <w:rsid w:val="23A814C6"/>
    <w:rsid w:val="2419690F"/>
    <w:rsid w:val="26B40B71"/>
    <w:rsid w:val="275A1718"/>
    <w:rsid w:val="290C6955"/>
    <w:rsid w:val="291B4ED7"/>
    <w:rsid w:val="2AA762FE"/>
    <w:rsid w:val="2B6F5509"/>
    <w:rsid w:val="2DFB52D7"/>
    <w:rsid w:val="2E1819E5"/>
    <w:rsid w:val="2F827A5E"/>
    <w:rsid w:val="30F602B2"/>
    <w:rsid w:val="31232B7B"/>
    <w:rsid w:val="3159738D"/>
    <w:rsid w:val="354A647F"/>
    <w:rsid w:val="35555B77"/>
    <w:rsid w:val="37F21BFE"/>
    <w:rsid w:val="39581830"/>
    <w:rsid w:val="3BEE2B70"/>
    <w:rsid w:val="3C5A586D"/>
    <w:rsid w:val="3EEB0A50"/>
    <w:rsid w:val="414F487A"/>
    <w:rsid w:val="41C9151C"/>
    <w:rsid w:val="43B53622"/>
    <w:rsid w:val="45CE4D82"/>
    <w:rsid w:val="47D534B4"/>
    <w:rsid w:val="49261002"/>
    <w:rsid w:val="4AC62A9D"/>
    <w:rsid w:val="508605D9"/>
    <w:rsid w:val="52CD24EF"/>
    <w:rsid w:val="579B14B0"/>
    <w:rsid w:val="581A550C"/>
    <w:rsid w:val="5AC75D2E"/>
    <w:rsid w:val="5F9C5723"/>
    <w:rsid w:val="68947CE3"/>
    <w:rsid w:val="69807E63"/>
    <w:rsid w:val="6D763A57"/>
    <w:rsid w:val="71AA7DB2"/>
    <w:rsid w:val="73F30988"/>
    <w:rsid w:val="774F3472"/>
    <w:rsid w:val="7D257E1F"/>
    <w:rsid w:val="7E417769"/>
    <w:rsid w:val="7F5C0AED"/>
    <w:rsid w:val="7F7854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qFormat/>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qFormat/>
    <w:uiPriority w:val="0"/>
    <w:pPr>
      <w:spacing w:after="120"/>
      <w:ind w:left="420" w:leftChars="200"/>
    </w:pPr>
  </w:style>
  <w:style w:type="paragraph" w:styleId="4">
    <w:name w:val="Balloon Text"/>
    <w:basedOn w:val="1"/>
    <w:link w:val="13"/>
    <w:qFormat/>
    <w:uiPriority w:val="0"/>
    <w:rPr>
      <w:sz w:val="18"/>
      <w:szCs w:val="18"/>
    </w:rPr>
  </w:style>
  <w:style w:type="paragraph" w:styleId="5">
    <w:name w:val="footer"/>
    <w:basedOn w:val="1"/>
    <w:link w:val="12"/>
    <w:qFormat/>
    <w:uiPriority w:val="0"/>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character" w:styleId="8">
    <w:name w:val="annotation reference"/>
    <w:basedOn w:val="7"/>
    <w:qFormat/>
    <w:uiPriority w:val="0"/>
    <w:rPr>
      <w:sz w:val="21"/>
      <w:szCs w:val="21"/>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1">
    <w:name w:val="页眉 字符"/>
    <w:basedOn w:val="7"/>
    <w:link w:val="6"/>
    <w:qFormat/>
    <w:uiPriority w:val="0"/>
    <w:rPr>
      <w:rFonts w:ascii="Times New Roman" w:hAnsi="Times New Roman" w:eastAsia="宋体" w:cs="Times New Roman"/>
      <w:kern w:val="2"/>
      <w:sz w:val="18"/>
      <w:szCs w:val="18"/>
    </w:rPr>
  </w:style>
  <w:style w:type="character" w:customStyle="1" w:styleId="12">
    <w:name w:val="页脚 字符"/>
    <w:basedOn w:val="7"/>
    <w:link w:val="5"/>
    <w:qFormat/>
    <w:uiPriority w:val="0"/>
    <w:rPr>
      <w:rFonts w:ascii="Times New Roman" w:hAnsi="Times New Roman" w:eastAsia="宋体" w:cs="Times New Roman"/>
      <w:kern w:val="2"/>
      <w:sz w:val="18"/>
      <w:szCs w:val="18"/>
    </w:rPr>
  </w:style>
  <w:style w:type="character" w:customStyle="1" w:styleId="13">
    <w:name w:val="批注框文本 字符"/>
    <w:basedOn w:val="7"/>
    <w:link w:val="4"/>
    <w:qFormat/>
    <w:uiPriority w:val="0"/>
    <w:rPr>
      <w:rFonts w:ascii="Times New Roman" w:hAnsi="Times New Roman" w:eastAsia="宋体" w:cs="Times New Roman"/>
      <w:kern w:val="2"/>
      <w:sz w:val="18"/>
      <w:szCs w:val="18"/>
    </w:rPr>
  </w:style>
  <w:style w:type="paragraph" w:customStyle="1" w:styleId="14">
    <w:name w:val="Revision"/>
    <w:hidden/>
    <w:semiHidden/>
    <w:qFormat/>
    <w:uiPriority w:val="99"/>
    <w:rPr>
      <w:rFonts w:ascii="Times New Roman" w:hAnsi="Times New Roman" w:eastAsia="宋体" w:cs="Times New Roman"/>
      <w:kern w:val="2"/>
      <w:sz w:val="21"/>
      <w:szCs w:val="24"/>
      <w:lang w:val="en-US" w:eastAsia="zh-CN" w:bidi="ar-SA"/>
    </w:rPr>
  </w:style>
  <w:style w:type="paragraph" w:customStyle="1" w:styleId="15">
    <w:name w:val="三级标题3"/>
    <w:basedOn w:val="1"/>
    <w:qFormat/>
    <w:uiPriority w:val="0"/>
    <w:pPr>
      <w:spacing w:line="440" w:lineRule="exact"/>
      <w:ind w:firstLine="200" w:firstLineChars="200"/>
      <w:outlineLvl w:val="2"/>
    </w:pPr>
    <w:rPr>
      <w:rFonts w:asciiTheme="minorEastAsia" w:hAnsiTheme="minorEastAsia" w:eastAsiaTheme="minorEastAsia" w:cstheme="minorEastAsia"/>
      <w:b/>
      <w:bCs/>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7421</Words>
  <Characters>7562</Characters>
  <Lines>54</Lines>
  <Paragraphs>15</Paragraphs>
  <TotalTime>1</TotalTime>
  <ScaleCrop>false</ScaleCrop>
  <LinksUpToDate>false</LinksUpToDate>
  <CharactersWithSpaces>7768</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2023-04-07T06:22:00Z</dcterms:created>
  <dc:creator>Administrator</dc:creator>
  <cp:lastModifiedBy>梁磊</cp:lastModifiedBy>
  <dcterms:modified xsi:type="dcterms:W3CDTF">2023-07-09T03:44:07Z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y fmtid="{D5CDD505-2E9C-101B-9397-08002B2CF9AE}" pid="3" name="ICV">
    <vt:lpwstr>94726DADC6F24FDEB5F37D7035B4E7F9</vt:lpwstr>
  </property>
</Properties>
</file>