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77" w:right="0" w:firstLine="0"/>
        <w:jc w:val="center"/>
        <w:rPr>
          <w:sz w:val="44"/>
        </w:rPr>
      </w:pPr>
      <w:r>
        <w:rPr>
          <w:w w:val="99"/>
          <w:sz w:val="44"/>
        </w:rPr>
        <w:t> </w:t>
      </w:r>
    </w:p>
    <w:p>
      <w:pPr>
        <w:spacing w:before="60"/>
        <w:ind w:left="77" w:right="0" w:firstLine="0"/>
        <w:jc w:val="center"/>
        <w:rPr>
          <w:sz w:val="44"/>
        </w:rPr>
      </w:pPr>
      <w:r>
        <w:rPr>
          <w:w w:val="99"/>
          <w:sz w:val="44"/>
        </w:rPr>
        <w:t> </w:t>
      </w:r>
    </w:p>
    <w:p>
      <w:pPr>
        <w:spacing w:before="60"/>
        <w:ind w:left="77" w:right="0" w:firstLine="0"/>
        <w:jc w:val="center"/>
        <w:rPr>
          <w:sz w:val="44"/>
        </w:rPr>
      </w:pPr>
      <w:r>
        <w:rPr>
          <w:w w:val="99"/>
          <w:sz w:val="44"/>
        </w:rPr>
        <w:t> </w:t>
      </w:r>
    </w:p>
    <w:p>
      <w:pPr>
        <w:spacing w:before="60"/>
        <w:ind w:left="77" w:right="0" w:firstLine="0"/>
        <w:jc w:val="center"/>
        <w:rPr>
          <w:sz w:val="44"/>
        </w:rPr>
      </w:pPr>
      <w:r>
        <w:rPr>
          <w:w w:val="99"/>
          <w:sz w:val="44"/>
        </w:rPr>
        <w:t> </w:t>
      </w:r>
    </w:p>
    <w:p>
      <w:pPr>
        <w:spacing w:before="61"/>
        <w:ind w:left="77" w:right="0" w:firstLine="0"/>
        <w:jc w:val="center"/>
        <w:rPr>
          <w:sz w:val="44"/>
        </w:rPr>
      </w:pPr>
      <w:r>
        <w:rPr>
          <w:w w:val="99"/>
          <w:sz w:val="44"/>
        </w:rPr>
        <w:t> </w:t>
      </w:r>
    </w:p>
    <w:p>
      <w:pPr>
        <w:spacing w:before="60"/>
        <w:ind w:left="311" w:right="233" w:firstLine="0"/>
        <w:jc w:val="center"/>
        <w:rPr>
          <w:sz w:val="44"/>
        </w:rPr>
      </w:pPr>
      <w:r>
        <w:rPr>
          <w:w w:val="95"/>
          <w:sz w:val="44"/>
        </w:rPr>
        <w:t>上海市高等教育自学考试 </w:t>
      </w:r>
    </w:p>
    <w:p>
      <w:pPr>
        <w:spacing w:line="266" w:lineRule="auto" w:before="60"/>
        <w:ind w:left="312" w:right="233" w:firstLine="0"/>
        <w:jc w:val="center"/>
        <w:rPr>
          <w:sz w:val="44"/>
        </w:rPr>
      </w:pPr>
      <w:r>
        <w:rPr>
          <w:w w:val="99"/>
          <w:sz w:val="44"/>
        </w:rPr>
        <w:t>工程管理专业（独立本科段</w:t>
      </w:r>
      <w:r>
        <w:rPr>
          <w:spacing w:val="-220"/>
          <w:w w:val="99"/>
          <w:sz w:val="44"/>
        </w:rPr>
        <w:t>）</w:t>
      </w:r>
      <w:r>
        <w:rPr>
          <w:w w:val="99"/>
          <w:sz w:val="44"/>
        </w:rPr>
        <w:t>（</w:t>
      </w:r>
      <w:r>
        <w:rPr>
          <w:spacing w:val="4"/>
          <w:w w:val="99"/>
          <w:sz w:val="44"/>
        </w:rPr>
        <w:t>B</w:t>
      </w:r>
      <w:r>
        <w:rPr>
          <w:w w:val="99"/>
          <w:sz w:val="44"/>
        </w:rPr>
        <w:t>0202</w:t>
      </w:r>
      <w:r>
        <w:rPr>
          <w:spacing w:val="4"/>
          <w:w w:val="99"/>
          <w:sz w:val="44"/>
        </w:rPr>
        <w:t>7</w:t>
      </w:r>
      <w:r>
        <w:rPr>
          <w:w w:val="99"/>
          <w:sz w:val="44"/>
        </w:rPr>
        <w:t>9</w:t>
      </w:r>
      <w:r>
        <w:rPr>
          <w:spacing w:val="-5"/>
          <w:w w:val="99"/>
          <w:sz w:val="44"/>
        </w:rPr>
        <w:t>）</w:t>
      </w:r>
      <w:r>
        <w:rPr>
          <w:w w:val="99"/>
          <w:sz w:val="44"/>
        </w:rPr>
        <w:t> </w:t>
      </w:r>
      <w:r>
        <w:rPr>
          <w:sz w:val="44"/>
        </w:rPr>
        <w:t>房地产评估</w:t>
      </w:r>
      <w:r>
        <w:rPr>
          <w:rFonts w:ascii="Times New Roman" w:eastAsia="Times New Roman"/>
          <w:sz w:val="44"/>
        </w:rPr>
        <w:t>(</w:t>
      </w:r>
      <w:r>
        <w:rPr>
          <w:sz w:val="44"/>
        </w:rPr>
        <w:t>实践</w:t>
      </w:r>
      <w:r>
        <w:rPr>
          <w:rFonts w:ascii="Times New Roman" w:eastAsia="Times New Roman"/>
          <w:sz w:val="44"/>
        </w:rPr>
        <w:t>)</w:t>
      </w:r>
      <w:r>
        <w:rPr>
          <w:sz w:val="44"/>
        </w:rPr>
        <w:t>（</w:t>
      </w:r>
      <w:r>
        <w:rPr>
          <w:rFonts w:ascii="Times New Roman" w:eastAsia="Times New Roman"/>
          <w:sz w:val="44"/>
        </w:rPr>
        <w:t>00123</w:t>
      </w:r>
      <w:r>
        <w:rPr>
          <w:sz w:val="44"/>
        </w:rPr>
        <w:t>）</w:t>
      </w:r>
    </w:p>
    <w:p>
      <w:pPr>
        <w:spacing w:line="560" w:lineRule="exact" w:before="0"/>
        <w:ind w:left="93" w:right="233" w:firstLine="0"/>
        <w:jc w:val="center"/>
        <w:rPr>
          <w:sz w:val="44"/>
        </w:rPr>
      </w:pPr>
      <w:r>
        <w:rPr>
          <w:w w:val="95"/>
          <w:sz w:val="44"/>
        </w:rPr>
        <w:t>自学考试大纲</w:t>
      </w: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ind w:left="0"/>
        <w:rPr>
          <w:sz w:val="44"/>
        </w:rPr>
      </w:pPr>
    </w:p>
    <w:p>
      <w:pPr>
        <w:pStyle w:val="BodyText"/>
        <w:spacing w:before="4"/>
        <w:ind w:left="0"/>
        <w:rPr>
          <w:sz w:val="42"/>
        </w:rPr>
      </w:pPr>
    </w:p>
    <w:p>
      <w:pPr>
        <w:spacing w:before="0"/>
        <w:ind w:left="92" w:right="233" w:firstLine="0"/>
        <w:jc w:val="center"/>
        <w:rPr>
          <w:sz w:val="44"/>
        </w:rPr>
      </w:pPr>
      <w:r>
        <w:rPr>
          <w:w w:val="95"/>
          <w:sz w:val="44"/>
        </w:rPr>
        <w:t>同济大学自学考试办公室编</w:t>
      </w:r>
    </w:p>
    <w:p>
      <w:pPr>
        <w:spacing w:before="61"/>
        <w:ind w:left="92" w:right="233" w:firstLine="0"/>
        <w:jc w:val="center"/>
        <w:rPr>
          <w:sz w:val="44"/>
        </w:rPr>
      </w:pPr>
      <w:r>
        <w:rPr>
          <w:w w:val="95"/>
          <w:sz w:val="44"/>
        </w:rPr>
        <w:t>上海市高等教育自学考试委员会组编</w:t>
      </w:r>
    </w:p>
    <w:p>
      <w:pPr>
        <w:spacing w:before="60"/>
        <w:ind w:left="93" w:right="233" w:firstLine="0"/>
        <w:jc w:val="center"/>
        <w:rPr>
          <w:sz w:val="44"/>
        </w:rPr>
      </w:pPr>
      <w:r>
        <w:rPr>
          <w:rFonts w:ascii="Times New Roman" w:eastAsia="Times New Roman"/>
          <w:w w:val="95"/>
          <w:sz w:val="44"/>
        </w:rPr>
        <w:t>2010</w:t>
      </w:r>
      <w:r>
        <w:rPr>
          <w:rFonts w:ascii="Times New Roman" w:eastAsia="Times New Roman"/>
          <w:spacing w:val="33"/>
          <w:w w:val="95"/>
          <w:sz w:val="44"/>
        </w:rPr>
        <w:t> </w:t>
      </w:r>
      <w:r>
        <w:rPr>
          <w:spacing w:val="-38"/>
          <w:w w:val="95"/>
          <w:sz w:val="44"/>
        </w:rPr>
        <w:t>年 </w:t>
      </w:r>
      <w:r>
        <w:rPr>
          <w:rFonts w:ascii="Times New Roman" w:eastAsia="Times New Roman"/>
          <w:w w:val="95"/>
          <w:sz w:val="44"/>
        </w:rPr>
        <w:t>4</w:t>
      </w:r>
      <w:r>
        <w:rPr>
          <w:rFonts w:ascii="Times New Roman" w:eastAsia="Times New Roman"/>
          <w:spacing w:val="35"/>
          <w:w w:val="95"/>
          <w:sz w:val="44"/>
        </w:rPr>
        <w:t> </w:t>
      </w:r>
      <w:r>
        <w:rPr>
          <w:w w:val="95"/>
          <w:sz w:val="44"/>
        </w:rPr>
        <w:t>月版</w:t>
      </w:r>
    </w:p>
    <w:p>
      <w:pPr>
        <w:spacing w:after="0"/>
        <w:jc w:val="center"/>
        <w:rPr>
          <w:sz w:val="44"/>
        </w:rPr>
        <w:sectPr>
          <w:footerReference w:type="default" r:id="rId5"/>
          <w:type w:val="continuous"/>
          <w:pgSz w:w="11910" w:h="16840"/>
          <w:pgMar w:footer="724" w:top="1440" w:bottom="920" w:left="1680" w:right="1540"/>
          <w:pgNumType w:start="1"/>
        </w:sectPr>
      </w:pPr>
    </w:p>
    <w:p>
      <w:pPr>
        <w:pStyle w:val="BodyText"/>
        <w:spacing w:line="417" w:lineRule="auto" w:before="56"/>
        <w:ind w:left="120" w:right="256" w:firstLine="631"/>
        <w:jc w:val="both"/>
      </w:pPr>
      <w:r>
        <w:rPr/>
        <w:t>房地产评估</w:t>
      </w:r>
      <w:r>
        <w:rPr>
          <w:rFonts w:ascii="Times New Roman" w:eastAsia="Times New Roman"/>
        </w:rPr>
        <w:t>(</w:t>
      </w:r>
      <w:r>
        <w:rPr/>
        <w:t>实践</w:t>
      </w:r>
      <w:r>
        <w:rPr>
          <w:rFonts w:ascii="Times New Roman" w:eastAsia="Times New Roman"/>
        </w:rPr>
        <w:t>)</w:t>
      </w:r>
      <w:r>
        <w:rPr>
          <w:spacing w:val="-5"/>
        </w:rPr>
        <w:t>课程要求每个学生在工作实践中，独立完成一</w:t>
      </w:r>
      <w:r>
        <w:rPr>
          <w:spacing w:val="-4"/>
        </w:rPr>
        <w:t>个详细的房地产评估案例，掌握目前房地产评估的全过程知识。该实</w:t>
      </w:r>
      <w:r>
        <w:rPr>
          <w:spacing w:val="-5"/>
        </w:rPr>
        <w:t>践课程不仅要求学生系统掌握房地产评估的理论知识，而且培养学生</w:t>
      </w:r>
      <w:r>
        <w:rPr/>
        <w:t>的综合实践能力。</w:t>
      </w:r>
    </w:p>
    <w:p>
      <w:pPr>
        <w:pStyle w:val="BodyText"/>
        <w:spacing w:line="358" w:lineRule="exact"/>
      </w:pPr>
      <w:r>
        <w:rPr/>
        <w:t>一、实践内容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20" w:right="118" w:firstLine="631"/>
      </w:pPr>
      <w:r>
        <w:rPr>
          <w:spacing w:val="-1"/>
        </w:rPr>
        <w:t>利用在房地产评估单位实习的机会，收集当地房地产市场资料，</w:t>
      </w:r>
      <w:r>
        <w:rPr>
          <w:spacing w:val="-137"/>
        </w:rPr>
        <w:t> </w:t>
      </w:r>
      <w:r>
        <w:rPr/>
        <w:t>选择具体物业标进行评估，然后写出评估分析报告，要求每位学生提交一篇房地产评估报告（方法、评估对象不限</w:t>
      </w:r>
      <w:r>
        <w:rPr>
          <w:spacing w:val="-141"/>
        </w:rPr>
        <w:t>）</w:t>
      </w:r>
      <w:r>
        <w:rPr/>
        <w:t>。</w:t>
      </w:r>
    </w:p>
    <w:p>
      <w:pPr>
        <w:pStyle w:val="BodyText"/>
        <w:spacing w:line="358" w:lineRule="exact"/>
      </w:pPr>
      <w:r>
        <w:rPr/>
        <w:t>二、基本要求：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rFonts w:ascii="Times New Roman" w:eastAsia="Times New Roman"/>
        </w:rPr>
        <w:t>1</w:t>
      </w:r>
      <w:r>
        <w:rPr/>
        <w:t>、了解房地产评估的种类和特点。</w:t>
      </w:r>
    </w:p>
    <w:p>
      <w:pPr>
        <w:pStyle w:val="BodyText"/>
        <w:spacing w:before="266"/>
      </w:pPr>
      <w:r>
        <w:rPr>
          <w:rFonts w:ascii="Times New Roman" w:eastAsia="Times New Roman"/>
        </w:rPr>
        <w:t>2</w:t>
      </w:r>
      <w:r>
        <w:rPr>
          <w:spacing w:val="-15"/>
        </w:rPr>
        <w:t>、重点掌握土地使用权价格评估、房屋建筑物评估的操作实务。</w:t>
      </w:r>
    </w:p>
    <w:p>
      <w:pPr>
        <w:pStyle w:val="BodyText"/>
        <w:spacing w:line="417" w:lineRule="auto" w:before="265"/>
        <w:ind w:left="120" w:right="254" w:firstLine="631"/>
      </w:pPr>
      <w:r>
        <w:rPr>
          <w:rFonts w:ascii="Times New Roman" w:eastAsia="Times New Roman"/>
          <w:spacing w:val="-1"/>
        </w:rPr>
        <w:t>3</w:t>
      </w:r>
      <w:r>
        <w:rPr>
          <w:spacing w:val="-1"/>
        </w:rPr>
        <w:t>、掌握和应用市场比较法、成本法和线路估价法的使用范围和</w:t>
      </w:r>
      <w:r>
        <w:rPr/>
        <w:t>使用方法。</w:t>
      </w:r>
    </w:p>
    <w:p>
      <w:pPr>
        <w:pStyle w:val="BodyText"/>
        <w:spacing w:line="358" w:lineRule="exact"/>
      </w:pPr>
      <w:r>
        <w:rPr>
          <w:rFonts w:ascii="Times New Roman" w:eastAsia="Times New Roman"/>
        </w:rPr>
        <w:t>4</w:t>
      </w:r>
      <w:r>
        <w:rPr/>
        <w:t>、熟悉房地产评估报告的种类和格式。</w:t>
      </w:r>
    </w:p>
    <w:p>
      <w:pPr>
        <w:pStyle w:val="BodyText"/>
        <w:spacing w:line="417" w:lineRule="auto" w:before="265"/>
        <w:ind w:right="2189"/>
      </w:pPr>
      <w:r>
        <w:rPr>
          <w:rFonts w:ascii="Times New Roman" w:eastAsia="Times New Roman"/>
        </w:rPr>
        <w:t>5</w:t>
      </w:r>
      <w:r>
        <w:rPr/>
        <w:t>、能够基本掌握房地产评估报告的撰写方法。三、估价报告规范</w:t>
      </w:r>
    </w:p>
    <w:p>
      <w:pPr>
        <w:pStyle w:val="BodyText"/>
        <w:spacing w:line="358" w:lineRule="exact"/>
      </w:pPr>
      <w:r>
        <w:rPr/>
        <w:t>（一</w:t>
      </w:r>
      <w:r>
        <w:rPr>
          <w:spacing w:val="-141"/>
        </w:rPr>
        <w:t>）</w:t>
      </w:r>
      <w:r>
        <w:rPr/>
        <w:t>、致委托方函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20" w:right="255" w:firstLine="631"/>
      </w:pPr>
      <w:r>
        <w:rPr>
          <w:spacing w:val="-1"/>
        </w:rPr>
        <w:t>（二</w:t>
      </w:r>
      <w:r>
        <w:rPr>
          <w:spacing w:val="-141"/>
        </w:rPr>
        <w:t>）</w:t>
      </w:r>
      <w:r>
        <w:rPr>
          <w:spacing w:val="-1"/>
        </w:rPr>
        <w:t>、估价师声明，声明估价报告中陈述的事实是真实的和准</w:t>
      </w:r>
      <w:r>
        <w:rPr/>
        <w:t>确的。</w:t>
      </w:r>
    </w:p>
    <w:p>
      <w:pPr>
        <w:pStyle w:val="BodyText"/>
        <w:spacing w:line="417" w:lineRule="auto"/>
        <w:ind w:left="120" w:right="255" w:firstLine="631"/>
        <w:jc w:val="both"/>
      </w:pPr>
      <w:r>
        <w:rPr>
          <w:spacing w:val="-1"/>
        </w:rPr>
        <w:t>（三</w:t>
      </w:r>
      <w:r>
        <w:rPr>
          <w:spacing w:val="-141"/>
        </w:rPr>
        <w:t>）</w:t>
      </w:r>
      <w:r>
        <w:rPr>
          <w:spacing w:val="-1"/>
        </w:rPr>
        <w:t>、估价的假设和限制条件（说明本次估价的假设前提，未</w:t>
      </w:r>
      <w:r>
        <w:rPr>
          <w:spacing w:val="-6"/>
        </w:rPr>
        <w:t>经调查确认或无法调查确认的资料数据，估价中未考虑的因素和一些</w:t>
      </w:r>
      <w:r>
        <w:rPr/>
        <w:t>特殊处理及其可能的影响，本估价报告使用的限制条件）</w:t>
      </w:r>
    </w:p>
    <w:p>
      <w:pPr>
        <w:spacing w:after="0" w:line="417" w:lineRule="auto"/>
        <w:jc w:val="both"/>
        <w:sectPr>
          <w:pgSz w:w="11910" w:h="16840"/>
          <w:pgMar w:header="0" w:footer="724" w:top="1500" w:bottom="920" w:left="1680" w:right="1540"/>
        </w:sectPr>
      </w:pPr>
    </w:p>
    <w:p>
      <w:pPr>
        <w:pStyle w:val="BodyText"/>
        <w:spacing w:before="36"/>
      </w:pPr>
      <w:r>
        <w:rPr/>
        <w:t>（四</w:t>
      </w:r>
      <w:r>
        <w:rPr>
          <w:spacing w:val="-141"/>
        </w:rPr>
        <w:t>）</w:t>
      </w:r>
      <w:r>
        <w:rPr/>
        <w:t>、估价结果报告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20" w:right="254" w:firstLine="631"/>
      </w:pPr>
      <w:r>
        <w:rPr>
          <w:rFonts w:ascii="Times New Roman" w:eastAsia="Times New Roman"/>
          <w:spacing w:val="-1"/>
        </w:rPr>
        <w:t>1</w:t>
      </w:r>
      <w:r>
        <w:rPr>
          <w:spacing w:val="-1"/>
        </w:rPr>
        <w:t>、委托方（说明本估价项目的委托单位的全称、法定代表人和</w:t>
      </w:r>
      <w:r>
        <w:rPr/>
        <w:t>住所，个人委托的为个人的姓名和住所）</w:t>
      </w:r>
    </w:p>
    <w:p>
      <w:pPr>
        <w:pStyle w:val="BodyText"/>
        <w:spacing w:line="417" w:lineRule="auto"/>
        <w:ind w:left="120" w:right="232" w:firstLine="631"/>
      </w:pPr>
      <w:r>
        <w:rPr>
          <w:rFonts w:ascii="Times New Roman" w:eastAsia="Times New Roman"/>
          <w:spacing w:val="-1"/>
        </w:rPr>
        <w:t>2</w:t>
      </w:r>
      <w:r>
        <w:rPr/>
        <w:t>、估价方（说明本估价项目的估价机构的全称、法定代表人、住所、估价资格等级）</w:t>
      </w:r>
    </w:p>
    <w:p>
      <w:pPr>
        <w:pStyle w:val="BodyText"/>
        <w:spacing w:line="417" w:lineRule="auto"/>
        <w:ind w:left="120" w:right="117" w:firstLine="631"/>
      </w:pPr>
      <w:r>
        <w:rPr>
          <w:rFonts w:ascii="Times New Roman" w:eastAsia="Times New Roman"/>
        </w:rPr>
        <w:t>3</w:t>
      </w:r>
      <w:r>
        <w:rPr/>
        <w:t>、估价对象（概要说明估价对象的状况，包括物质实体状况和权益状况。其中，对土地的说明应包括：名称，坐落，面积，形状，</w:t>
      </w:r>
      <w:r>
        <w:rPr>
          <w:spacing w:val="-137"/>
        </w:rPr>
        <w:t> </w:t>
      </w:r>
      <w:r>
        <w:rPr/>
        <w:t>四至、周围环境、景观，基础设施完备程度，土地平整程度，地势，</w:t>
      </w:r>
      <w:r>
        <w:rPr>
          <w:spacing w:val="-137"/>
        </w:rPr>
        <w:t> </w:t>
      </w:r>
      <w:r>
        <w:rPr/>
        <w:t>地质、水文状况，规划限制条件，利用现状，权属状况；对建筑物的</w:t>
      </w:r>
      <w:r>
        <w:rPr>
          <w:spacing w:val="-18"/>
        </w:rPr>
        <w:t>说明应包括：名称，坐落，面积，层数，建筑结构，装修，设施设备，</w:t>
      </w:r>
      <w:r>
        <w:rPr>
          <w:spacing w:val="-137"/>
        </w:rPr>
        <w:t> </w:t>
      </w:r>
      <w:r>
        <w:rPr/>
        <w:t>平面布置，工程质量，建成年月，维护、保养、使用情况，公共配套设施完备程度，利用现状，权属状况）</w:t>
      </w:r>
    </w:p>
    <w:p>
      <w:pPr>
        <w:pStyle w:val="BodyText"/>
        <w:spacing w:line="357" w:lineRule="exact"/>
      </w:pPr>
      <w:r>
        <w:rPr>
          <w:rFonts w:ascii="Times New Roman" w:eastAsia="Times New Roman"/>
        </w:rPr>
        <w:t>4</w:t>
      </w:r>
      <w:r>
        <w:rPr/>
        <w:t>、估价目的（说明本次估价的目的和应用方向）</w:t>
      </w:r>
    </w:p>
    <w:p>
      <w:pPr>
        <w:pStyle w:val="BodyText"/>
        <w:spacing w:before="265"/>
      </w:pPr>
      <w:r>
        <w:rPr>
          <w:rFonts w:ascii="Times New Roman" w:eastAsia="Times New Roman"/>
        </w:rPr>
        <w:t>5</w:t>
      </w:r>
      <w:r>
        <w:rPr>
          <w:spacing w:val="-34"/>
        </w:rPr>
        <w:t>、估价时点</w:t>
      </w:r>
      <w:r>
        <w:rPr/>
        <w:t>（说明所评估的客观合理价格或价值对应的年月日）</w:t>
      </w:r>
    </w:p>
    <w:p>
      <w:pPr>
        <w:pStyle w:val="BodyText"/>
        <w:spacing w:before="265"/>
      </w:pPr>
      <w:r>
        <w:rPr>
          <w:rFonts w:ascii="Times New Roman" w:eastAsia="Times New Roman"/>
        </w:rPr>
        <w:t>6</w:t>
      </w:r>
      <w:r>
        <w:rPr/>
        <w:t>、价值定义（说明本次估价采用的价值标准或价值内涵）</w:t>
      </w:r>
    </w:p>
    <w:p>
      <w:pPr>
        <w:pStyle w:val="BodyText"/>
        <w:spacing w:line="417" w:lineRule="auto" w:before="265"/>
        <w:ind w:left="120" w:right="254" w:firstLine="631"/>
        <w:jc w:val="both"/>
      </w:pPr>
      <w:r>
        <w:rPr>
          <w:rFonts w:ascii="Times New Roman" w:eastAsia="Times New Roman"/>
          <w:spacing w:val="-1"/>
        </w:rPr>
        <w:t>7</w:t>
      </w:r>
      <w:r>
        <w:rPr>
          <w:spacing w:val="-1"/>
        </w:rPr>
        <w:t>、估价依据（说明本次估价依据的本房地产估价规范，国家和</w:t>
      </w:r>
      <w:r>
        <w:rPr>
          <w:spacing w:val="-4"/>
        </w:rPr>
        <w:t>地方的法律、法规，委托方提供的有关资料，估价机构和估价人员掌</w:t>
      </w:r>
      <w:r>
        <w:rPr/>
        <w:t>握和搜集的有关资料）</w:t>
      </w:r>
    </w:p>
    <w:p>
      <w:pPr>
        <w:pStyle w:val="BodyText"/>
        <w:spacing w:line="358" w:lineRule="exact"/>
      </w:pPr>
      <w:r>
        <w:rPr>
          <w:rFonts w:ascii="Times New Roman" w:eastAsia="Times New Roman"/>
        </w:rPr>
        <w:t>8</w:t>
      </w:r>
      <w:r>
        <w:rPr/>
        <w:t>、估价原则（说明本次估价遵循的房地产估价原则）</w:t>
      </w:r>
    </w:p>
    <w:p>
      <w:pPr>
        <w:pStyle w:val="BodyText"/>
        <w:spacing w:line="417" w:lineRule="auto" w:before="266"/>
        <w:ind w:left="120" w:right="254" w:firstLine="631"/>
      </w:pPr>
      <w:r>
        <w:rPr>
          <w:rFonts w:ascii="Times New Roman" w:eastAsia="Times New Roman"/>
          <w:spacing w:val="-1"/>
        </w:rPr>
        <w:t>9</w:t>
      </w:r>
      <w:r>
        <w:rPr>
          <w:spacing w:val="-1"/>
        </w:rPr>
        <w:t>、估价方法（说明本次估价的思路和采用的方法以及这些估价</w:t>
      </w:r>
      <w:r>
        <w:rPr/>
        <w:t>方法的定义）</w:t>
      </w:r>
    </w:p>
    <w:p>
      <w:pPr>
        <w:pStyle w:val="BodyText"/>
        <w:spacing w:line="358" w:lineRule="exact"/>
      </w:pPr>
      <w:r>
        <w:rPr>
          <w:rFonts w:ascii="Times New Roman" w:eastAsia="Times New Roman"/>
        </w:rPr>
        <w:t>10</w:t>
      </w:r>
      <w:r>
        <w:rPr/>
        <w:t>、估价结果（说明本次估价的最终结果，应分别说明总价和</w:t>
      </w:r>
    </w:p>
    <w:p>
      <w:pPr>
        <w:spacing w:after="0" w:line="358" w:lineRule="exact"/>
        <w:sectPr>
          <w:pgSz w:w="11910" w:h="16840"/>
          <w:pgMar w:header="0" w:footer="724" w:top="1520" w:bottom="920" w:left="1680" w:right="1540"/>
        </w:sectPr>
      </w:pPr>
    </w:p>
    <w:p>
      <w:pPr>
        <w:pStyle w:val="BodyText"/>
        <w:spacing w:line="417" w:lineRule="auto" w:before="36"/>
        <w:ind w:left="120" w:right="258"/>
      </w:pPr>
      <w:r>
        <w:rPr>
          <w:spacing w:val="-4"/>
        </w:rPr>
        <w:t>单价，并附大写金额。若用外币表示，应说明估价时点中国人民银行</w:t>
      </w:r>
      <w:r>
        <w:rPr/>
        <w:t>公布的人民币市场汇率中间价，并注明所折合的人民币价格）</w:t>
      </w:r>
    </w:p>
    <w:p>
      <w:pPr>
        <w:pStyle w:val="BodyText"/>
        <w:spacing w:line="417" w:lineRule="auto"/>
        <w:ind w:left="120" w:right="252" w:firstLine="631"/>
      </w:pPr>
      <w:r>
        <w:rPr>
          <w:rFonts w:ascii="Times New Roman" w:eastAsia="Times New Roman"/>
        </w:rPr>
        <w:t>11</w:t>
      </w:r>
      <w:r>
        <w:rPr/>
        <w:t>、估价人员（列出所有参加本次估价的人员的姓名、估价资格或职称，并由本人签名、盖章）</w:t>
      </w:r>
    </w:p>
    <w:p>
      <w:pPr>
        <w:pStyle w:val="BodyText"/>
        <w:spacing w:line="358" w:lineRule="exact"/>
      </w:pPr>
      <w:r>
        <w:rPr>
          <w:rFonts w:ascii="Times New Roman" w:eastAsia="Times New Roman"/>
        </w:rPr>
        <w:t>12</w:t>
      </w:r>
      <w:r>
        <w:rPr/>
        <w:t>、估价作业日期（说明本次估价的起止年月日）</w:t>
      </w:r>
    </w:p>
    <w:p>
      <w:pPr>
        <w:pStyle w:val="BodyText"/>
        <w:spacing w:line="417" w:lineRule="auto" w:before="265"/>
        <w:ind w:left="120" w:right="256" w:firstLine="631"/>
      </w:pPr>
      <w:r>
        <w:rPr>
          <w:rFonts w:ascii="Times New Roman" w:eastAsia="Times New Roman"/>
        </w:rPr>
        <w:t>13</w:t>
      </w:r>
      <w:r>
        <w:rPr/>
        <w:t>、估价报告应用的有效期（说明本估价报告应用的有效期，</w:t>
      </w:r>
      <w:r>
        <w:rPr>
          <w:spacing w:val="-137"/>
        </w:rPr>
        <w:t> </w:t>
      </w:r>
      <w:r>
        <w:rPr/>
        <w:t>可表达为到某个年月日止，也可表达为多长年限，如一年）</w:t>
      </w:r>
    </w:p>
    <w:p>
      <w:pPr>
        <w:pStyle w:val="BodyText"/>
        <w:spacing w:line="358" w:lineRule="exact"/>
      </w:pPr>
      <w:r>
        <w:rPr/>
        <w:t>（五</w:t>
      </w:r>
      <w:r>
        <w:rPr>
          <w:spacing w:val="-141"/>
        </w:rPr>
        <w:t>）</w:t>
      </w:r>
      <w:r>
        <w:rPr/>
        <w:t>、估价技术报告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rFonts w:ascii="Times New Roman" w:eastAsia="Times New Roman"/>
        </w:rPr>
        <w:t>1</w:t>
      </w:r>
      <w:r>
        <w:rPr/>
        <w:t>、个别因素分析</w:t>
      </w:r>
    </w:p>
    <w:p>
      <w:pPr>
        <w:pStyle w:val="BodyText"/>
        <w:spacing w:before="266"/>
      </w:pPr>
      <w:r>
        <w:rPr>
          <w:rFonts w:ascii="Times New Roman" w:eastAsia="Times New Roman"/>
        </w:rPr>
        <w:t>2</w:t>
      </w:r>
      <w:r>
        <w:rPr/>
        <w:t>、区域因素分析</w:t>
      </w:r>
    </w:p>
    <w:p>
      <w:pPr>
        <w:pStyle w:val="BodyText"/>
        <w:spacing w:before="265"/>
      </w:pPr>
      <w:r>
        <w:rPr>
          <w:rFonts w:ascii="Times New Roman" w:eastAsia="Times New Roman"/>
        </w:rPr>
        <w:t>3</w:t>
      </w:r>
      <w:r>
        <w:rPr/>
        <w:t>、市场背景分析</w:t>
      </w:r>
    </w:p>
    <w:p>
      <w:pPr>
        <w:pStyle w:val="BodyText"/>
        <w:spacing w:before="265"/>
      </w:pPr>
      <w:r>
        <w:rPr>
          <w:rFonts w:ascii="Times New Roman" w:eastAsia="Times New Roman"/>
        </w:rPr>
        <w:t>4</w:t>
      </w:r>
      <w:r>
        <w:rPr/>
        <w:t>、最高最佳使用分析</w:t>
      </w:r>
    </w:p>
    <w:p>
      <w:pPr>
        <w:pStyle w:val="BodyText"/>
        <w:spacing w:before="265"/>
      </w:pPr>
      <w:r>
        <w:rPr>
          <w:rFonts w:ascii="Times New Roman" w:eastAsia="Times New Roman"/>
        </w:rPr>
        <w:t>5</w:t>
      </w:r>
      <w:r>
        <w:rPr/>
        <w:t>、估价方法选用</w:t>
      </w:r>
    </w:p>
    <w:p>
      <w:pPr>
        <w:pStyle w:val="BodyText"/>
        <w:spacing w:before="266"/>
      </w:pPr>
      <w:r>
        <w:rPr>
          <w:rFonts w:ascii="Times New Roman" w:eastAsia="Times New Roman"/>
        </w:rPr>
        <w:t>6</w:t>
      </w:r>
      <w:r>
        <w:rPr/>
        <w:t>、估价测算过程</w:t>
      </w:r>
    </w:p>
    <w:p>
      <w:pPr>
        <w:pStyle w:val="BodyText"/>
        <w:spacing w:before="265"/>
      </w:pPr>
      <w:r>
        <w:rPr>
          <w:rFonts w:ascii="Times New Roman" w:eastAsia="Times New Roman"/>
        </w:rPr>
        <w:t>7</w:t>
      </w:r>
      <w:r>
        <w:rPr/>
        <w:t>、估价结果确定</w:t>
      </w:r>
    </w:p>
    <w:p>
      <w:pPr>
        <w:pStyle w:val="BodyText"/>
        <w:spacing w:before="265"/>
      </w:pPr>
      <w:r>
        <w:rPr/>
        <w:t>（六</w:t>
      </w:r>
      <w:r>
        <w:rPr>
          <w:spacing w:val="-141"/>
        </w:rPr>
        <w:t>）</w:t>
      </w:r>
      <w:r>
        <w:rPr/>
        <w:t>、附件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417" w:lineRule="auto"/>
        <w:ind w:left="120" w:right="252" w:firstLine="631"/>
        <w:jc w:val="both"/>
      </w:pPr>
      <w:r>
        <w:rPr/>
        <w:t>估价对象的位置图，四至和周围环境图，土地形状图，建筑平</w:t>
      </w:r>
      <w:r>
        <w:rPr>
          <w:spacing w:val="-3"/>
        </w:rPr>
        <w:t>面图，外观和内部照片，项目有关批准文件，产权证明，估价中引用</w:t>
      </w:r>
      <w:r>
        <w:rPr/>
        <w:t>的其三他专用文件资料，估价人员和估价机构的资格证明等。</w:t>
      </w:r>
    </w:p>
    <w:sectPr>
      <w:pgSz w:w="11910" w:h="16840"/>
      <w:pgMar w:header="0" w:footer="724" w:top="1520" w:bottom="92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40002pt;margin-top:794.739685pt;width:10.5pt;height:12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751"/>
    </w:pPr>
    <w:rPr>
      <w:rFonts w:ascii="SimSun" w:hAnsi="SimSun" w:eastAsia="SimSun" w:cs="SimSun"/>
      <w:sz w:val="28"/>
      <w:szCs w:val="2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Mineea</dc:creator>
  <dc:title>Microsoft Word - æ‹¿åœ°äº§è¯—ä¼°(å®žè·µ)è¯¾ç¨‰æŁŽåﾭ¦å¤§çº².doc</dc:title>
  <dcterms:created xsi:type="dcterms:W3CDTF">2023-05-27T01:28:11Z</dcterms:created>
  <dcterms:modified xsi:type="dcterms:W3CDTF">2023-05-27T01:28:11Z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2023-05-27T00:00:00Z</vt:filetime>
  </property>
</Properties>
</file>