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安徽外国语学院专升本考试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《管理学原理</w:t>
      </w:r>
      <w:r>
        <w:rPr>
          <w:rFonts w:hint="eastAsia"/>
          <w:b/>
          <w:sz w:val="36"/>
          <w:szCs w:val="36"/>
          <w:lang w:val="en-US" w:eastAsia="zh-CN"/>
        </w:rPr>
        <w:t>》课程</w:t>
      </w:r>
      <w:r>
        <w:rPr>
          <w:rFonts w:hint="eastAsia"/>
          <w:b/>
          <w:sz w:val="36"/>
          <w:szCs w:val="36"/>
        </w:rPr>
        <w:t>考试大纲</w:t>
      </w:r>
    </w:p>
    <w:p>
      <w:pPr>
        <w:rPr>
          <w:b/>
          <w:sz w:val="36"/>
          <w:szCs w:val="36"/>
        </w:rPr>
      </w:pPr>
    </w:p>
    <w:p>
      <w:pPr>
        <w:tabs>
          <w:tab w:val="left" w:pos="840"/>
          <w:tab w:val="left" w:pos="1260"/>
        </w:tabs>
        <w:adjustRightInd w:val="0"/>
        <w:snapToGrid w:val="0"/>
        <w:spacing w:line="360" w:lineRule="auto"/>
        <w:ind w:firstLine="643" w:firstLineChars="200"/>
        <w:jc w:val="left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一、总纲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专升本考试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专科层次学生进入本科层次阶段学习的选拔考试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，考试对象包括</w:t>
      </w:r>
      <w:r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安徽省省属普通高校（以及经过批准举办普通高等职业教育的成人高等院校）的应届全日制普通高职（专科）毕业生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安徽省高校毕业的具有普通高职（专科）学历的退役士兵。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安徽外国语学院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年专升本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考试实行“2门公共课（各150分）+2门专业课（各150分）”的入学测试方式， 2门公共课为“大学语文+英语”</w:t>
      </w:r>
      <w:r>
        <w:rPr>
          <w:rFonts w:hint="eastAsia"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2门专业课为高职（专科）阶段所学专业课程。由省教育招生考试院组织对公共课进行统考。专业课由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安徽外国语学院</w:t>
      </w:r>
      <w:r>
        <w:rPr>
          <w:rFonts w:ascii="宋体" w:hAnsi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自主命题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并组织考试。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《安徽外国语学院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年专升本考试——管理学原理课程大纲》（以下简称《考试大纲》）是各管理类专业《管理学原理》课程命题的规范性文件和标准，是考试评价、复习备考的依据。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4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《考试大纲》依据《安徽省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年普通高校专升本考试招生工作操作办法》、《安徽省专升本考试大纲编写指引》等文件制定。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276" w:lineRule="auto"/>
        <w:ind w:firstLine="560" w:firstLineChars="200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</w:rPr>
        <w:t>《考试大纲》的编写依据是安徽外国语学院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届管理类专科专业的基础课程《管理学原理》授课教材，考试内容主要是考查考生对管理学中基本概念、基本原理的掌握情况以及运用基础理论解决问题的应用能力。</w:t>
      </w:r>
    </w:p>
    <w:p>
      <w:pPr>
        <w:tabs>
          <w:tab w:val="left" w:pos="840"/>
          <w:tab w:val="left" w:pos="1260"/>
        </w:tabs>
        <w:adjustRightInd w:val="0"/>
        <w:snapToGrid w:val="0"/>
        <w:spacing w:line="360" w:lineRule="auto"/>
        <w:ind w:firstLine="643" w:firstLineChars="200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eastAsia="宋体" w:cs="Times New Roman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、</w:t>
      </w:r>
      <w:r>
        <w:rPr>
          <w:rFonts w:ascii="宋体" w:hAnsi="宋体" w:eastAsia="宋体" w:cs="Times New Roman"/>
          <w:b/>
          <w:bCs/>
          <w:color w:val="000000"/>
          <w:sz w:val="32"/>
          <w:szCs w:val="32"/>
        </w:rPr>
        <w:t>学科考</w:t>
      </w: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查内容纲要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（一）考核目标与要求</w:t>
      </w:r>
    </w:p>
    <w:p>
      <w:pPr>
        <w:adjustRightInd w:val="0"/>
        <w:snapToGrid w:val="0"/>
        <w:ind w:firstLine="560" w:firstLineChars="200"/>
        <w:rPr>
          <w:rFonts w:hint="eastAsia" w:cs="Times New Roman" w:asciiTheme="minorEastAsia" w:hAnsi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1</w:t>
      </w:r>
      <w:r>
        <w:rPr>
          <w:rFonts w:cs="Times New Roman" w:asciiTheme="minorEastAsia" w:hAnsiTheme="minorEastAsia"/>
          <w:color w:val="000000"/>
          <w:sz w:val="28"/>
          <w:szCs w:val="28"/>
        </w:rPr>
        <w:t>、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参考书目：</w:t>
      </w:r>
      <w:r>
        <w:rPr>
          <w:rFonts w:cs="Times New Roman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《管理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学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》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 xml:space="preserve"> 陈传明、徐向艺、赵丽芬 马工程重点教材  高等教育出版社  2019年1月版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</w:rPr>
        <w:t>2</w:t>
      </w:r>
      <w:r>
        <w:rPr>
          <w:rFonts w:cs="Times New Roman" w:asciiTheme="minorEastAsia" w:hAnsiTheme="minorEastAsia"/>
          <w:color w:val="000000"/>
          <w:sz w:val="28"/>
          <w:szCs w:val="28"/>
        </w:rPr>
        <w:t>、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考核目标</w:t>
      </w:r>
      <w:r>
        <w:rPr>
          <w:rFonts w:cs="Times New Roman" w:asciiTheme="minorEastAsia" w:hAnsiTheme="minorEastAsia"/>
          <w:color w:val="000000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>主要考查考生对管理学的基本概念、基本理论及方法的掌握与应用能力。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（二）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《管理学原理》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课程</w:t>
      </w: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考试范围与要求</w:t>
      </w:r>
    </w:p>
    <w:p>
      <w:pPr>
        <w:tabs>
          <w:tab w:val="left" w:pos="840"/>
          <w:tab w:val="left" w:pos="1260"/>
        </w:tabs>
        <w:adjustRightInd w:val="0"/>
        <w:snapToGrid w:val="0"/>
        <w:ind w:firstLine="562" w:firstLineChars="200"/>
        <w:rPr>
          <w:rFonts w:hint="eastAsia" w:cs="Times New Roman" w:asciiTheme="minorEastAsia" w:hAnsi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  <w:lang w:val="en-US" w:eastAsia="zh-CN"/>
        </w:rPr>
        <w:t>参考目录</w:t>
      </w:r>
    </w:p>
    <w:p>
      <w:pPr>
        <w:tabs>
          <w:tab w:val="left" w:pos="840"/>
          <w:tab w:val="left" w:pos="1260"/>
        </w:tabs>
        <w:adjustRightInd w:val="0"/>
        <w:snapToGrid w:val="0"/>
        <w:ind w:firstLine="380" w:firstLine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  前辅文 绪论 </w:t>
      </w:r>
    </w:p>
    <w:p>
      <w:pPr>
        <w:numPr>
          <w:ilvl w:val="0"/>
          <w:numId w:val="1"/>
        </w:numPr>
        <w:tabs>
          <w:tab w:val="left" w:pos="840"/>
          <w:tab w:val="left" w:pos="1260"/>
        </w:tabs>
        <w:adjustRightInd w:val="0"/>
        <w:snapToGrid w:val="0"/>
        <w:ind w:firstLine="380" w:firstLine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管理学的研究对象</w:t>
      </w:r>
    </w:p>
    <w:p>
      <w:pPr>
        <w:numPr>
          <w:ilvl w:val="0"/>
          <w:numId w:val="1"/>
        </w:numPr>
        <w:tabs>
          <w:tab w:val="left" w:pos="840"/>
          <w:tab w:val="left" w:pos="1260"/>
        </w:tabs>
        <w:adjustRightInd w:val="0"/>
        <w:snapToGrid w:val="0"/>
        <w:ind w:left="0" w:leftChars="0" w:firstLine="380" w:firstLine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管理学的产生与发展 三、管理学的学习意义与方法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第一篇 总论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第一章 管理导论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Chars="20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管理的内涵与本质</w:t>
      </w:r>
    </w:p>
    <w:p>
      <w:pPr>
        <w:numPr>
          <w:ilvl w:val="0"/>
          <w:numId w:val="2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组织与管理 </w:t>
      </w:r>
    </w:p>
    <w:p>
      <w:pPr>
        <w:numPr>
          <w:ilvl w:val="0"/>
          <w:numId w:val="2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管理的内涵 </w:t>
      </w:r>
    </w:p>
    <w:p>
      <w:pPr>
        <w:numPr>
          <w:ilvl w:val="0"/>
          <w:numId w:val="2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管理的本质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管理的基本原理与方法 </w:t>
      </w:r>
    </w:p>
    <w:p>
      <w:pPr>
        <w:numPr>
          <w:ilvl w:val="0"/>
          <w:numId w:val="3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管理的基本原理 </w:t>
      </w:r>
    </w:p>
    <w:p>
      <w:pPr>
        <w:numPr>
          <w:ilvl w:val="0"/>
          <w:numId w:val="3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管理的基本方法 </w:t>
      </w:r>
    </w:p>
    <w:p>
      <w:pPr>
        <w:numPr>
          <w:ilvl w:val="0"/>
          <w:numId w:val="3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管理的基本工具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管理活动的时代背景 </w:t>
      </w:r>
    </w:p>
    <w:p>
      <w:pPr>
        <w:numPr>
          <w:ilvl w:val="0"/>
          <w:numId w:val="4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全球化 </w:t>
      </w:r>
    </w:p>
    <w:p>
      <w:pPr>
        <w:numPr>
          <w:ilvl w:val="0"/>
          <w:numId w:val="4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信息化 </w:t>
      </w:r>
    </w:p>
    <w:p>
      <w:pPr>
        <w:numPr>
          <w:ilvl w:val="0"/>
          <w:numId w:val="4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市场化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第二章 管理理论的历史演变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古典管理理论 </w:t>
      </w:r>
    </w:p>
    <w:p>
      <w:pPr>
        <w:numPr>
          <w:ilvl w:val="0"/>
          <w:numId w:val="5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科学管理研究 </w:t>
      </w:r>
    </w:p>
    <w:p>
      <w:pPr>
        <w:numPr>
          <w:ilvl w:val="0"/>
          <w:numId w:val="5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一般管理研究</w:t>
      </w:r>
    </w:p>
    <w:p>
      <w:pPr>
        <w:numPr>
          <w:ilvl w:val="0"/>
          <w:numId w:val="5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科层组织研究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现代管理流派 </w:t>
      </w:r>
    </w:p>
    <w:p>
      <w:pPr>
        <w:numPr>
          <w:ilvl w:val="0"/>
          <w:numId w:val="6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管理思维的系统与权变研究</w:t>
      </w:r>
    </w:p>
    <w:p>
      <w:pPr>
        <w:numPr>
          <w:ilvl w:val="0"/>
          <w:numId w:val="6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管理本质的决策与协调研究</w:t>
      </w:r>
    </w:p>
    <w:p>
      <w:pPr>
        <w:numPr>
          <w:ilvl w:val="0"/>
          <w:numId w:val="6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管理分析的技术与方法研究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第三节 当代管理理论 </w:t>
      </w:r>
    </w:p>
    <w:p>
      <w:pPr>
        <w:numPr>
          <w:ilvl w:val="0"/>
          <w:numId w:val="7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制度视角的研究：新制度学派的组织趋同理论</w:t>
      </w:r>
    </w:p>
    <w:p>
      <w:pPr>
        <w:numPr>
          <w:ilvl w:val="0"/>
          <w:numId w:val="7"/>
        </w:numPr>
        <w:tabs>
          <w:tab w:val="left" w:pos="840"/>
          <w:tab w:val="left" w:pos="1260"/>
        </w:tabs>
        <w:adjustRightInd w:val="0"/>
        <w:snapToGrid w:val="0"/>
        <w:ind w:left="47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技术视角的研究：企业再造理论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第二篇 决策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第三章 决策与决策过程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47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决策及其任务</w:t>
      </w:r>
    </w:p>
    <w:p>
      <w:pPr>
        <w:numPr>
          <w:ilvl w:val="0"/>
          <w:numId w:val="8"/>
        </w:numPr>
        <w:tabs>
          <w:tab w:val="left" w:pos="840"/>
          <w:tab w:val="left" w:pos="1260"/>
        </w:tabs>
        <w:adjustRightInd w:val="0"/>
        <w:snapToGrid w:val="0"/>
        <w:ind w:left="52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决策的概念和要素</w:t>
      </w:r>
    </w:p>
    <w:p>
      <w:pPr>
        <w:numPr>
          <w:ilvl w:val="0"/>
          <w:numId w:val="8"/>
        </w:numPr>
        <w:tabs>
          <w:tab w:val="left" w:pos="840"/>
          <w:tab w:val="left" w:pos="1260"/>
        </w:tabs>
        <w:adjustRightInd w:val="0"/>
        <w:snapToGrid w:val="0"/>
        <w:ind w:left="52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决策与计划</w:t>
      </w:r>
    </w:p>
    <w:p>
      <w:pPr>
        <w:numPr>
          <w:ilvl w:val="0"/>
          <w:numId w:val="8"/>
        </w:numPr>
        <w:tabs>
          <w:tab w:val="left" w:pos="840"/>
          <w:tab w:val="left" w:pos="1260"/>
        </w:tabs>
        <w:adjustRightInd w:val="0"/>
        <w:snapToGrid w:val="0"/>
        <w:ind w:left="52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决策的功能与任务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2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决策的类型与特征</w:t>
      </w:r>
    </w:p>
    <w:p>
      <w:pPr>
        <w:numPr>
          <w:ilvl w:val="0"/>
          <w:numId w:val="9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决策分类 </w:t>
      </w:r>
    </w:p>
    <w:p>
      <w:pPr>
        <w:numPr>
          <w:ilvl w:val="0"/>
          <w:numId w:val="9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决策的特征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决策过程与影响因素 </w:t>
      </w:r>
    </w:p>
    <w:p>
      <w:pPr>
        <w:numPr>
          <w:ilvl w:val="0"/>
          <w:numId w:val="1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决策过程模型 </w:t>
      </w:r>
    </w:p>
    <w:p>
      <w:pPr>
        <w:numPr>
          <w:ilvl w:val="0"/>
          <w:numId w:val="10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决策的影响因素</w:t>
      </w:r>
    </w:p>
    <w:p>
      <w:pPr>
        <w:numPr>
          <w:ilvl w:val="0"/>
          <w:numId w:val="10"/>
        </w:numPr>
        <w:tabs>
          <w:tab w:val="left" w:pos="840"/>
          <w:tab w:val="left" w:pos="1260"/>
        </w:tabs>
        <w:adjustRightInd w:val="0"/>
        <w:snapToGrid w:val="0"/>
        <w:ind w:left="57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决策的准则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第四章 环境分析与理性决策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576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组织的内外部环境要素</w:t>
      </w:r>
    </w:p>
    <w:p>
      <w:pPr>
        <w:numPr>
          <w:ilvl w:val="0"/>
          <w:numId w:val="11"/>
        </w:numPr>
        <w:tabs>
          <w:tab w:val="left" w:pos="840"/>
          <w:tab w:val="left" w:pos="1260"/>
        </w:tabs>
        <w:adjustRightInd w:val="0"/>
        <w:snapToGrid w:val="0"/>
        <w:ind w:left="628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环境分类 </w:t>
      </w:r>
    </w:p>
    <w:p>
      <w:pPr>
        <w:numPr>
          <w:ilvl w:val="0"/>
          <w:numId w:val="11"/>
        </w:numPr>
        <w:tabs>
          <w:tab w:val="left" w:pos="840"/>
          <w:tab w:val="left" w:pos="1260"/>
        </w:tabs>
        <w:adjustRightInd w:val="0"/>
        <w:snapToGrid w:val="0"/>
        <w:ind w:left="628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环境分析的常用方法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628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理性决策与非理性决策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理性决策 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行为决策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非理性决策 </w:t>
      </w:r>
    </w:p>
    <w:p>
      <w:pPr>
        <w:numPr>
          <w:ilvl w:val="0"/>
          <w:numId w:val="12"/>
        </w:numPr>
        <w:tabs>
          <w:tab w:val="left" w:pos="840"/>
          <w:tab w:val="left" w:pos="1260"/>
        </w:tabs>
        <w:adjustRightInd w:val="0"/>
        <w:snapToGrid w:val="0"/>
        <w:ind w:left="680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价值理性与工具理性的对立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680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决策方法</w:t>
      </w:r>
    </w:p>
    <w:p>
      <w:pPr>
        <w:numPr>
          <w:ilvl w:val="0"/>
          <w:numId w:val="13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决策背景研究方法</w:t>
      </w:r>
    </w:p>
    <w:p>
      <w:pPr>
        <w:numPr>
          <w:ilvl w:val="0"/>
          <w:numId w:val="13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活动方案生成与评价方法 </w:t>
      </w:r>
    </w:p>
    <w:p>
      <w:pPr>
        <w:numPr>
          <w:ilvl w:val="0"/>
          <w:numId w:val="13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选择活动方案的评价方法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第五章 决策的实施与调整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第一节 实施决策的计划制定 </w:t>
      </w:r>
    </w:p>
    <w:p>
      <w:pPr>
        <w:numPr>
          <w:ilvl w:val="0"/>
          <w:numId w:val="14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计划的本质与特征 </w:t>
      </w:r>
    </w:p>
    <w:p>
      <w:pPr>
        <w:numPr>
          <w:ilvl w:val="0"/>
          <w:numId w:val="14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计划的类型与作用 </w:t>
      </w:r>
    </w:p>
    <w:p>
      <w:pPr>
        <w:numPr>
          <w:ilvl w:val="0"/>
          <w:numId w:val="14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计划编制的过程与方法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第二节 推进计划的流程和方法 </w:t>
      </w:r>
    </w:p>
    <w:p>
      <w:pPr>
        <w:numPr>
          <w:ilvl w:val="0"/>
          <w:numId w:val="15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目标管理 </w:t>
      </w:r>
    </w:p>
    <w:p>
      <w:pPr>
        <w:numPr>
          <w:ilvl w:val="0"/>
          <w:numId w:val="15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PDCA循环 </w:t>
      </w:r>
    </w:p>
    <w:p>
      <w:pPr>
        <w:numPr>
          <w:ilvl w:val="0"/>
          <w:numId w:val="15"/>
        </w:numPr>
        <w:tabs>
          <w:tab w:val="left" w:pos="840"/>
          <w:tab w:val="left" w:pos="1260"/>
        </w:tabs>
        <w:adjustRightInd w:val="0"/>
        <w:snapToGrid w:val="0"/>
        <w:ind w:left="732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预算管理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32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第三节 决策追踪与调整</w:t>
      </w:r>
    </w:p>
    <w:p>
      <w:pPr>
        <w:numPr>
          <w:ilvl w:val="0"/>
          <w:numId w:val="16"/>
        </w:numPr>
        <w:tabs>
          <w:tab w:val="left" w:pos="840"/>
          <w:tab w:val="left" w:pos="1260"/>
        </w:tabs>
        <w:adjustRightInd w:val="0"/>
        <w:snapToGrid w:val="0"/>
        <w:ind w:left="78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决策追踪与调整的内涵 </w:t>
      </w:r>
    </w:p>
    <w:p>
      <w:pPr>
        <w:numPr>
          <w:ilvl w:val="0"/>
          <w:numId w:val="16"/>
        </w:numPr>
        <w:tabs>
          <w:tab w:val="left" w:pos="840"/>
          <w:tab w:val="left" w:pos="1260"/>
        </w:tabs>
        <w:adjustRightInd w:val="0"/>
        <w:snapToGrid w:val="0"/>
        <w:ind w:left="78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决策追踪与调整的原则 </w:t>
      </w:r>
    </w:p>
    <w:p>
      <w:pPr>
        <w:numPr>
          <w:ilvl w:val="0"/>
          <w:numId w:val="16"/>
        </w:numPr>
        <w:tabs>
          <w:tab w:val="left" w:pos="840"/>
          <w:tab w:val="left" w:pos="1260"/>
        </w:tabs>
        <w:adjustRightInd w:val="0"/>
        <w:snapToGrid w:val="0"/>
        <w:ind w:left="784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决策追踪与调整的程序及方法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8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第三篇 组织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8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第六章 组织设计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784" w:left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第一节 组织设计的任务与影响因素</w:t>
      </w:r>
    </w:p>
    <w:p>
      <w:pPr>
        <w:numPr>
          <w:ilvl w:val="0"/>
          <w:numId w:val="17"/>
        </w:numPr>
        <w:tabs>
          <w:tab w:val="left" w:pos="840"/>
          <w:tab w:val="left" w:pos="1260"/>
        </w:tabs>
        <w:adjustRightInd w:val="0"/>
        <w:snapToGrid w:val="0"/>
        <w:ind w:left="83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组织设计的任务</w:t>
      </w:r>
    </w:p>
    <w:p>
      <w:pPr>
        <w:numPr>
          <w:ilvl w:val="0"/>
          <w:numId w:val="17"/>
        </w:numPr>
        <w:tabs>
          <w:tab w:val="left" w:pos="840"/>
          <w:tab w:val="left" w:pos="1260"/>
        </w:tabs>
        <w:adjustRightInd w:val="0"/>
        <w:snapToGrid w:val="0"/>
        <w:ind w:left="836" w:leftChars="0" w:firstLine="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组织设计的影响因素</w:t>
      </w:r>
    </w:p>
    <w:p>
      <w:pPr>
        <w:numPr>
          <w:ilvl w:val="0"/>
          <w:numId w:val="0"/>
        </w:numPr>
        <w:tabs>
          <w:tab w:val="left" w:pos="840"/>
          <w:tab w:val="left" w:pos="1260"/>
        </w:tabs>
        <w:adjustRightInd w:val="0"/>
        <w:snapToGrid w:val="0"/>
        <w:ind w:left="836" w:leftChars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........</w:t>
      </w:r>
    </w:p>
    <w:p>
      <w:pPr>
        <w:adjustRightInd w:val="0"/>
        <w:snapToGrid w:val="0"/>
        <w:spacing w:line="276" w:lineRule="auto"/>
        <w:ind w:firstLine="643" w:firstLineChars="200"/>
        <w:jc w:val="left"/>
        <w:rPr>
          <w:rFonts w:ascii="宋体" w:hAnsi="宋体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/>
          <w:sz w:val="32"/>
          <w:szCs w:val="32"/>
        </w:rPr>
        <w:t>三、补充说明</w:t>
      </w:r>
    </w:p>
    <w:p>
      <w:pPr>
        <w:adjustRightInd w:val="0"/>
        <w:snapToGrid w:val="0"/>
        <w:spacing w:line="276" w:lineRule="auto"/>
        <w:ind w:firstLine="564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（一）考试形式：闭卷</w:t>
      </w:r>
    </w:p>
    <w:p>
      <w:pPr>
        <w:adjustRightInd w:val="0"/>
        <w:snapToGrid w:val="0"/>
        <w:spacing w:line="276" w:lineRule="auto"/>
        <w:ind w:firstLine="562" w:firstLineChars="200"/>
        <w:jc w:val="left"/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（二）试卷、题型、分值结构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题 型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一、单选题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二、判断题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三、名词解释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四、简答题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五、论述题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六、案例分析题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 w:cs="Times New Roman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759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2" w:firstLineChars="200"/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总 分</w:t>
            </w:r>
          </w:p>
        </w:tc>
        <w:tc>
          <w:tcPr>
            <w:tcW w:w="3760" w:type="dxa"/>
            <w:shd w:val="clear" w:color="auto" w:fill="auto"/>
          </w:tcPr>
          <w:p>
            <w:pPr>
              <w:adjustRightInd w:val="0"/>
              <w:snapToGrid w:val="0"/>
              <w:spacing w:line="276" w:lineRule="auto"/>
              <w:ind w:firstLine="560" w:firstLineChars="200"/>
              <w:jc w:val="center"/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150分</w:t>
            </w:r>
          </w:p>
        </w:tc>
      </w:tr>
    </w:tbl>
    <w:p>
      <w:pPr>
        <w:numPr>
          <w:ilvl w:val="0"/>
          <w:numId w:val="18"/>
        </w:numPr>
        <w:adjustRightInd w:val="0"/>
        <w:snapToGrid w:val="0"/>
        <w:ind w:firstLine="564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考试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eastAsia="zh-CN"/>
        </w:rPr>
        <w:t>总分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：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150分</w:t>
      </w:r>
    </w:p>
    <w:p>
      <w:pPr>
        <w:numPr>
          <w:ilvl w:val="0"/>
          <w:numId w:val="18"/>
        </w:numPr>
        <w:adjustRightInd w:val="0"/>
        <w:snapToGrid w:val="0"/>
        <w:ind w:firstLine="564"/>
        <w:rPr>
          <w:rFonts w:hint="default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考试时间：120分钟。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B6B82"/>
    <w:multiLevelType w:val="singleLevel"/>
    <w:tmpl w:val="9B7B6B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44CED88"/>
    <w:multiLevelType w:val="singleLevel"/>
    <w:tmpl w:val="A44CED88"/>
    <w:lvl w:ilvl="0" w:tentative="0">
      <w:start w:val="1"/>
      <w:numFmt w:val="chineseCounting"/>
      <w:suff w:val="nothing"/>
      <w:lvlText w:val="%1、"/>
      <w:lvlJc w:val="left"/>
      <w:pPr>
        <w:ind w:left="472" w:leftChars="0" w:firstLine="0" w:firstLineChars="0"/>
      </w:pPr>
      <w:rPr>
        <w:rFonts w:hint="eastAsia"/>
      </w:rPr>
    </w:lvl>
  </w:abstractNum>
  <w:abstractNum w:abstractNumId="2">
    <w:nsid w:val="AEDBA01D"/>
    <w:multiLevelType w:val="singleLevel"/>
    <w:tmpl w:val="AEDBA01D"/>
    <w:lvl w:ilvl="0" w:tentative="0">
      <w:start w:val="1"/>
      <w:numFmt w:val="chineseCounting"/>
      <w:suff w:val="nothing"/>
      <w:lvlText w:val="%1、"/>
      <w:lvlJc w:val="left"/>
      <w:pPr>
        <w:ind w:left="680" w:leftChars="0" w:firstLine="0" w:firstLineChars="0"/>
      </w:pPr>
      <w:rPr>
        <w:rFonts w:hint="eastAsia"/>
      </w:rPr>
    </w:lvl>
  </w:abstractNum>
  <w:abstractNum w:abstractNumId="3">
    <w:nsid w:val="C00D8C87"/>
    <w:multiLevelType w:val="singleLevel"/>
    <w:tmpl w:val="C00D8C87"/>
    <w:lvl w:ilvl="0" w:tentative="0">
      <w:start w:val="1"/>
      <w:numFmt w:val="chineseCounting"/>
      <w:suff w:val="nothing"/>
      <w:lvlText w:val="%1、"/>
      <w:lvlJc w:val="left"/>
      <w:pPr>
        <w:ind w:left="836" w:leftChars="0" w:firstLine="0" w:firstLineChars="0"/>
      </w:pPr>
      <w:rPr>
        <w:rFonts w:hint="eastAsia"/>
      </w:rPr>
    </w:lvl>
  </w:abstractNum>
  <w:abstractNum w:abstractNumId="4">
    <w:nsid w:val="C6416348"/>
    <w:multiLevelType w:val="singleLevel"/>
    <w:tmpl w:val="C6416348"/>
    <w:lvl w:ilvl="0" w:tentative="0">
      <w:start w:val="1"/>
      <w:numFmt w:val="chineseCounting"/>
      <w:suff w:val="nothing"/>
      <w:lvlText w:val="%1、"/>
      <w:lvlJc w:val="left"/>
      <w:pPr>
        <w:ind w:left="784" w:leftChars="0" w:firstLine="0" w:firstLineChars="0"/>
      </w:pPr>
      <w:rPr>
        <w:rFonts w:hint="eastAsia"/>
      </w:rPr>
    </w:lvl>
  </w:abstractNum>
  <w:abstractNum w:abstractNumId="5">
    <w:nsid w:val="CE1F7D55"/>
    <w:multiLevelType w:val="singleLevel"/>
    <w:tmpl w:val="CE1F7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CFA38E5A"/>
    <w:multiLevelType w:val="singleLevel"/>
    <w:tmpl w:val="CFA38E5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D263A546"/>
    <w:multiLevelType w:val="singleLevel"/>
    <w:tmpl w:val="D263A546"/>
    <w:lvl w:ilvl="0" w:tentative="0">
      <w:start w:val="1"/>
      <w:numFmt w:val="chineseCounting"/>
      <w:suff w:val="nothing"/>
      <w:lvlText w:val="%1、"/>
      <w:lvlJc w:val="left"/>
      <w:pPr>
        <w:ind w:left="524" w:leftChars="0" w:firstLine="0" w:firstLineChars="0"/>
      </w:pPr>
      <w:rPr>
        <w:rFonts w:hint="eastAsia"/>
      </w:rPr>
    </w:lvl>
  </w:abstractNum>
  <w:abstractNum w:abstractNumId="8">
    <w:nsid w:val="EE921B91"/>
    <w:multiLevelType w:val="singleLevel"/>
    <w:tmpl w:val="EE921B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FE156EFF"/>
    <w:multiLevelType w:val="singleLevel"/>
    <w:tmpl w:val="FE156E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FFF9257E"/>
    <w:multiLevelType w:val="singleLevel"/>
    <w:tmpl w:val="FFF925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549896A"/>
    <w:multiLevelType w:val="singleLevel"/>
    <w:tmpl w:val="3549896A"/>
    <w:lvl w:ilvl="0" w:tentative="0">
      <w:start w:val="1"/>
      <w:numFmt w:val="chineseCounting"/>
      <w:suff w:val="nothing"/>
      <w:lvlText w:val="%1、"/>
      <w:lvlJc w:val="left"/>
      <w:pPr>
        <w:ind w:left="628" w:leftChars="0" w:firstLine="0" w:firstLineChars="0"/>
      </w:pPr>
      <w:rPr>
        <w:rFonts w:hint="eastAsia"/>
      </w:rPr>
    </w:lvl>
  </w:abstractNum>
  <w:abstractNum w:abstractNumId="12">
    <w:nsid w:val="5430E449"/>
    <w:multiLevelType w:val="singleLevel"/>
    <w:tmpl w:val="5430E449"/>
    <w:lvl w:ilvl="0" w:tentative="0">
      <w:start w:val="1"/>
      <w:numFmt w:val="chineseCounting"/>
      <w:suff w:val="nothing"/>
      <w:lvlText w:val="%1、"/>
      <w:lvlJc w:val="left"/>
      <w:pPr>
        <w:ind w:left="576" w:leftChars="0" w:firstLine="0" w:firstLineChars="0"/>
      </w:pPr>
      <w:rPr>
        <w:rFonts w:hint="eastAsia"/>
      </w:rPr>
    </w:lvl>
  </w:abstractNum>
  <w:abstractNum w:abstractNumId="13">
    <w:nsid w:val="57743759"/>
    <w:multiLevelType w:val="singleLevel"/>
    <w:tmpl w:val="577437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5D16CF66"/>
    <w:multiLevelType w:val="singleLevel"/>
    <w:tmpl w:val="5D16CF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6BA86F8E"/>
    <w:multiLevelType w:val="singleLevel"/>
    <w:tmpl w:val="6BA86F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6BE2F8E1"/>
    <w:multiLevelType w:val="singleLevel"/>
    <w:tmpl w:val="6BE2F8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79097787"/>
    <w:multiLevelType w:val="singleLevel"/>
    <w:tmpl w:val="79097787"/>
    <w:lvl w:ilvl="0" w:tentative="0">
      <w:start w:val="1"/>
      <w:numFmt w:val="chineseCounting"/>
      <w:suff w:val="nothing"/>
      <w:lvlText w:val="%1、"/>
      <w:lvlJc w:val="left"/>
      <w:pPr>
        <w:ind w:left="732" w:leftChars="0" w:firstLine="0" w:firstLineChars="0"/>
      </w:pPr>
      <w:rPr>
        <w:rFonts w:hint="eastAsi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7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Dc5YmIwMTY5NTUyNjFjNGM3MDlhZTdkZDY4YTQifQ=="/>
  </w:docVars>
  <w:rsids>
    <w:rsidRoot w:val="00C36E33"/>
    <w:rsid w:val="000D5D51"/>
    <w:rsid w:val="001E7ECB"/>
    <w:rsid w:val="00230C75"/>
    <w:rsid w:val="002C0040"/>
    <w:rsid w:val="002C2E96"/>
    <w:rsid w:val="002C53C5"/>
    <w:rsid w:val="00305854"/>
    <w:rsid w:val="004005BD"/>
    <w:rsid w:val="00584C90"/>
    <w:rsid w:val="00627170"/>
    <w:rsid w:val="006B65DB"/>
    <w:rsid w:val="007026B9"/>
    <w:rsid w:val="007A3FA7"/>
    <w:rsid w:val="0084011E"/>
    <w:rsid w:val="008D302C"/>
    <w:rsid w:val="00911BC0"/>
    <w:rsid w:val="009238B7"/>
    <w:rsid w:val="00A12B3E"/>
    <w:rsid w:val="00A94821"/>
    <w:rsid w:val="00B02D4F"/>
    <w:rsid w:val="00B309E4"/>
    <w:rsid w:val="00C36E33"/>
    <w:rsid w:val="00C40A74"/>
    <w:rsid w:val="00D042B2"/>
    <w:rsid w:val="00D205BB"/>
    <w:rsid w:val="00D367F1"/>
    <w:rsid w:val="00E6282F"/>
    <w:rsid w:val="00EB145C"/>
    <w:rsid w:val="00F22927"/>
    <w:rsid w:val="00F36724"/>
    <w:rsid w:val="00F73EBB"/>
    <w:rsid w:val="08A72364"/>
    <w:rsid w:val="0BD03E1C"/>
    <w:rsid w:val="2D4D799F"/>
    <w:rsid w:val="31E3703B"/>
    <w:rsid w:val="42F03852"/>
    <w:rsid w:val="58255856"/>
    <w:rsid w:val="5C8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1342</Words>
  <Characters>1384</Characters>
  <Lines>17</Lines>
  <Paragraphs>5</Paragraphs>
  <TotalTime>31</TotalTime>
  <ScaleCrop>false</ScaleCrop>
  <LinksUpToDate>false</LinksUpToDate>
  <CharactersWithSpaces>1479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2020-04-13T06:02:00Z</dcterms:created>
  <dc:creator>happypenguins</dc:creator>
  <cp:lastModifiedBy>浪漫不渝</cp:lastModifiedBy>
  <dcterms:modified xsi:type="dcterms:W3CDTF">2023-03-09T01:35:26Z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9079E1CCCC0440FFA66827FCE3A7ECE6</vt:lpwstr>
  </property>
</Properties>
</file>