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一、经济学专业（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020115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、经济思想史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、西方经济学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、国际经济学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、计量经济学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、发展经济学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二、市场营销专业（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020208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、市场营销策划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、商品流通概论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、品牌营销策划与管理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、服务营销策划与推广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、营销渠道决策与管理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三、旅游管理专业（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020210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、旅游景区管理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、旅游资源规划与开发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、旅游企业投资与管理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、旅游人力资源管理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、中外民俗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、旅游文化学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四、国际经济法专业（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030105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、国际贸易法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、国际金融法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、国际投资法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、国际私法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、环境与资源保护法学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五、法律专业（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030106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、合同法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、知识产权法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、国际私法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、劳动法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、环境与资源保护法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、公司法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六、经济法学（电大方向）专业（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030107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、金融法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金融法（一）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、劳动法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、保险法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、企业法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、工业产权法（电大）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、环境与资源保护法学（电大）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七、律师专业（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030108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、律师执业概论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、环境与资源保护法学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、知识产权法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、合同法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、国际私法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、证据法学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八、行政管理学专业（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030302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、当代中国政治制度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、公共政策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、领导科学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、公务员制度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、行政组织理论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、行政法与行政诉讼法（一）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行政法学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九、学前教育专业（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040102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科任选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科作为主干课程）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、学前教育原理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、学前教育心理学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、学前游戏论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、学前比较教育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、学前儿童家庭教育学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、学前特殊儿童教育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、学前教育科学研究与论文写作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、课程与教学论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、幼儿园课程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、儿童发展理论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、学前教育研究方法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十、公共关系专业（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050309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、公共关系口才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、公共关系案例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、人际关系学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、现代谈判学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、国际公共关系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、创新思维理论与方法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十一、计算机网络专业（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080709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、计算机网络原理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计算机网络基本原理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、网络操作系统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、数据库系统原理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数据库技术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、计算机网络管理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、网络工程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局域网技术与组网工程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、互联网及其应用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十二、计算机信息管理专业（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082208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、操作系统概论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操作系统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操作系统原理及应用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、数据库原理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数据库系统原理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、软件开发工具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、信息系统开发与管理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信息系统开发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、信息资源管理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、计算机网络原理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计算机网络技术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十三、工商企业管理（中小企业管理方向）专业（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990006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、宏微观经济学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、投资经济学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、中小企业质量管理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、中小企业人力资源组织与管理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、中小企业战略管理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十四、法律（城乡法制方向）专业（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990025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、环境与资源保护法学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、合同法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、社会保障法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、农业政策学（一）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、土地法学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、行政执法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十五、电子信息工程专业（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B080753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）主干课程：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、传感器与检测技术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、通信原理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、计算机高级程序设计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、信号与线性系统分析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、计算机数据通信与网络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