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宋体"/>
          <w:color w:val="000000" w:themeColor="text1"/>
          <w:kern w:val="0"/>
          <w:sz w:val="32"/>
          <w:szCs w:val="32"/>
          <w:lang w:eastAsia="zh-CN"/>
          <w14:textFill>
            <w14:solidFill>
              <w14:schemeClr w14:val="tx1"/>
            </w14:solidFill>
          </w14:textFill>
        </w:rPr>
      </w:pPr>
      <w:bookmarkStart w:id="0" w:name="_GoBack"/>
      <w:bookmarkEnd w:id="0"/>
      <w:r>
        <w:rPr>
          <w:rFonts w:hint="eastAsia" w:ascii="黑体" w:hAnsi="宋体" w:eastAsia="黑体" w:cs="宋体"/>
          <w:color w:val="000000" w:themeColor="text1"/>
          <w:kern w:val="0"/>
          <w:sz w:val="32"/>
          <w:szCs w:val="32"/>
          <w14:textFill>
            <w14:solidFill>
              <w14:schemeClr w14:val="tx1"/>
            </w14:solidFill>
          </w14:textFill>
        </w:rPr>
        <w:t>附件</w:t>
      </w:r>
      <w:r>
        <w:rPr>
          <w:rFonts w:hint="eastAsia" w:ascii="黑体" w:hAnsi="宋体" w:eastAsia="黑体" w:cs="宋体"/>
          <w:color w:val="000000" w:themeColor="text1"/>
          <w:kern w:val="0"/>
          <w:sz w:val="32"/>
          <w:szCs w:val="32"/>
          <w:lang w:eastAsia="zh-CN"/>
          <w14:textFill>
            <w14:solidFill>
              <w14:schemeClr w14:val="tx1"/>
            </w14:solidFill>
          </w14:textFill>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80" w:lineRule="atLeast"/>
        <w:ind w:left="0" w:right="0" w:firstLine="0"/>
        <w:jc w:val="center"/>
        <w:rPr>
          <w:rFonts w:hint="eastAsia" w:ascii="宋体" w:hAnsi="宋体" w:eastAsia="宋体" w:cs="宋体"/>
          <w:b/>
          <w:bCs/>
          <w:i w:val="0"/>
          <w:caps w:val="0"/>
          <w:color w:val="000000" w:themeColor="text1"/>
          <w:spacing w:val="0"/>
          <w:sz w:val="44"/>
          <w:szCs w:val="44"/>
          <w14:textFill>
            <w14:solidFill>
              <w14:schemeClr w14:val="tx1"/>
            </w14:solidFill>
          </w14:textFill>
        </w:rPr>
      </w:pPr>
      <w:r>
        <w:rPr>
          <w:rFonts w:hint="eastAsia" w:ascii="宋体" w:hAnsi="宋体" w:eastAsia="宋体" w:cs="宋体"/>
          <w:b/>
          <w:bCs/>
          <w:i w:val="0"/>
          <w:caps w:val="0"/>
          <w:color w:val="000000" w:themeColor="text1"/>
          <w:spacing w:val="0"/>
          <w:sz w:val="44"/>
          <w:szCs w:val="44"/>
          <w:shd w:val="clear" w:color="auto" w:fill="FFFFFF"/>
          <w14:textFill>
            <w14:solidFill>
              <w14:schemeClr w14:val="tx1"/>
            </w14:solidFill>
          </w14:textFill>
        </w:rPr>
        <w:t>关于调整山东省高等教育自学考试专业名称和代码的通知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楷体" w:hAnsi="楷体" w:eastAsia="楷体" w:cs="楷体"/>
          <w:b w:val="0"/>
          <w:i w:val="0"/>
          <w:caps w:val="0"/>
          <w:color w:val="000000" w:themeColor="text1"/>
          <w:spacing w:val="0"/>
          <w:sz w:val="32"/>
          <w:szCs w:val="32"/>
          <w14:textFill>
            <w14:solidFill>
              <w14:schemeClr w14:val="tx1"/>
            </w14:solidFill>
          </w14:textFill>
        </w:rPr>
      </w:pPr>
      <w:r>
        <w:rPr>
          <w:rFonts w:hint="eastAsia" w:ascii="楷体" w:hAnsi="楷体" w:eastAsia="楷体" w:cs="楷体"/>
          <w:b w:val="0"/>
          <w:i w:val="0"/>
          <w:caps w:val="0"/>
          <w:color w:val="000000" w:themeColor="text1"/>
          <w:spacing w:val="0"/>
          <w:sz w:val="32"/>
          <w:szCs w:val="32"/>
          <w:shd w:val="clear" w:color="auto" w:fill="FFFFFF"/>
          <w14:textFill>
            <w14:solidFill>
              <w14:schemeClr w14:val="tx1"/>
            </w14:solidFill>
          </w14:textFill>
        </w:rPr>
        <w:t>鲁招考〔2018〕78号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各市及胜利石油管理局招生（考试）办公室（院、中心）、自学考试办公室、各专业主考院校：</w:t>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br w:type="textWrapping"/>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　　为贯彻落实《教育部办公厅关于印发&lt;高等教育自学考试专业设置实施细则&gt;和&lt;高等教育自学考试开考专业清单&gt;的通知》（教职成厅[2018]1号）精神，规范自学考试专业设置，根据我省实际情况对高等教育自学考试开考专业进行相应调整，现将有关事项通知如下：</w:t>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br w:type="textWrapping"/>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　　一、为保证专业调整工作的平稳过渡，本次专业调整仅限专业代码和专业名称调整，专业计划和主考院校均不做调整，具体调整内容详见附件1、附件2。</w:t>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br w:type="textWrapping"/>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　　二、自2018年12月1日起，原专业名称和专业代码不再接收新考生报考，新、老考生均须按照调整后的专业名称和专业代码办理报考手续，按照原专业计划选择报考课程。报考合并专业的新考生可自行选择合并前的专业计划报考。待全国自考专业规范公布后，再进行相关专业计划的调整和课程对顶。</w:t>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br w:type="textWrapping"/>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　　三、2019年1月1日以后申请毕业的考生，全省统一按照调整后的专业名称和专业代码办理毕业证书。2019年1月1日至2021年6月30日专业调整过渡期间，如考生个人申请，也可以按原专业名称和专业代码申请办理毕业证。2021年7月1日起停止办理原专业名称和专业代码毕业证书。</w:t>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br w:type="textWrapping"/>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　　四、为实现高等教育自学考试开考专业与国家继续教育专业目录协调统一，有利于考生今后的升学就业，建议考生按调整后的专业名称和专业代码申请办理毕业证书。</w:t>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br w:type="textWrapping"/>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　　请各单位收到本通知后，及时向县（市、区）考试机构、助学院校、考生广泛宣传，加强业务沟通、协调，妥善安排此次专业调整事宜，维护考生合法权益，保障本次专业调整的顺利实施。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　附件：</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t>山东省高等教育自学考试专业调整表（专科）</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u w:val="none"/>
          <w:shd w:val="clear" w:color="auto" w:fill="FFFFFF"/>
          <w14:textFill>
            <w14:solidFill>
              <w14:schemeClr w14:val="tx1"/>
            </w14:solidFill>
          </w14:textFill>
        </w:rPr>
        <w:t>山东省高等教育自学考试专业调整表（</w:t>
      </w:r>
      <w:r>
        <w:rPr>
          <w:rFonts w:hint="eastAsia" w:ascii="仿宋" w:hAnsi="仿宋" w:eastAsia="仿宋" w:cs="仿宋"/>
          <w:b w:val="0"/>
          <w:i w:val="0"/>
          <w:caps w:val="0"/>
          <w:color w:val="000000" w:themeColor="text1"/>
          <w:spacing w:val="0"/>
          <w:sz w:val="32"/>
          <w:szCs w:val="32"/>
          <w:u w:val="none"/>
          <w:shd w:val="clear" w:color="auto" w:fill="FFFFFF"/>
          <w:lang w:eastAsia="zh-CN"/>
          <w14:textFill>
            <w14:solidFill>
              <w14:schemeClr w14:val="tx1"/>
            </w14:solidFill>
          </w14:textFill>
        </w:rPr>
        <w:t>本</w:t>
      </w:r>
      <w:r>
        <w:rPr>
          <w:rFonts w:hint="eastAsia" w:ascii="仿宋" w:hAnsi="仿宋" w:eastAsia="仿宋" w:cs="仿宋"/>
          <w:b w:val="0"/>
          <w:i w:val="0"/>
          <w:caps w:val="0"/>
          <w:color w:val="000000" w:themeColor="text1"/>
          <w:spacing w:val="0"/>
          <w:sz w:val="32"/>
          <w:szCs w:val="32"/>
          <w:u w:val="none"/>
          <w:shd w:val="clear" w:color="auto" w:fill="FFFFFF"/>
          <w14:textFill>
            <w14:solidFill>
              <w14:schemeClr w14:val="tx1"/>
            </w14:solidFill>
          </w14:textFill>
        </w:rPr>
        <w:t>科）</w:t>
      </w:r>
      <w:r>
        <w:rPr>
          <w:rFonts w:hint="eastAsia" w:ascii="仿宋" w:hAnsi="仿宋" w:eastAsia="仿宋" w:cs="仿宋"/>
          <w:b w:val="0"/>
          <w:i w:val="0"/>
          <w:caps w:val="0"/>
          <w:color w:val="000000" w:themeColor="text1"/>
          <w:spacing w:val="0"/>
          <w:sz w:val="32"/>
          <w:szCs w:val="32"/>
          <w:u w:val="none"/>
          <w:shd w:val="clear" w:color="auto" w:fill="FFFFFF"/>
          <w14:textFill>
            <w14:solidFill>
              <w14:schemeClr w14:val="tx1"/>
            </w14:solidFill>
          </w14:textFill>
        </w:rPr>
        <w:fldChar w:fldCharType="begin"/>
      </w:r>
      <w:r>
        <w:rPr>
          <w:rFonts w:hint="eastAsia" w:ascii="仿宋" w:hAnsi="仿宋" w:eastAsia="仿宋" w:cs="仿宋"/>
          <w:b w:val="0"/>
          <w:i w:val="0"/>
          <w:caps w:val="0"/>
          <w:color w:val="000000" w:themeColor="text1"/>
          <w:spacing w:val="0"/>
          <w:sz w:val="32"/>
          <w:szCs w:val="32"/>
          <w:u w:val="none"/>
          <w:shd w:val="clear" w:color="auto" w:fill="FFFFFF"/>
          <w14:textFill>
            <w14:solidFill>
              <w14:schemeClr w14:val="tx1"/>
            </w14:solidFill>
          </w14:textFill>
        </w:rPr>
        <w:instrText xml:space="preserve"> HYPERLINK "http://www.sdzs.gov.cn/zxks/message/2018/727/184c9b48b94f141e8afac2668713f442a.docx" \t "http://www.sdzk.cn/_blank" </w:instrText>
      </w:r>
      <w:r>
        <w:rPr>
          <w:rFonts w:hint="eastAsia" w:ascii="仿宋" w:hAnsi="仿宋" w:eastAsia="仿宋" w:cs="仿宋"/>
          <w:b w:val="0"/>
          <w:i w:val="0"/>
          <w:caps w:val="0"/>
          <w:color w:val="000000" w:themeColor="text1"/>
          <w:spacing w:val="0"/>
          <w:sz w:val="32"/>
          <w:szCs w:val="32"/>
          <w:u w:val="none"/>
          <w:shd w:val="clear" w:color="auto" w:fill="FFFFFF"/>
          <w14:textFill>
            <w14:solidFill>
              <w14:schemeClr w14:val="tx1"/>
            </w14:solidFill>
          </w14:textFill>
        </w:rPr>
        <w:fldChar w:fldCharType="separate"/>
      </w:r>
      <w:r>
        <w:rPr>
          <w:rFonts w:hint="eastAsia" w:ascii="仿宋" w:hAnsi="仿宋" w:eastAsia="仿宋" w:cs="仿宋"/>
          <w:b w:val="0"/>
          <w:i w:val="0"/>
          <w:caps w:val="0"/>
          <w:color w:val="000000" w:themeColor="text1"/>
          <w:spacing w:val="0"/>
          <w:sz w:val="32"/>
          <w:szCs w:val="32"/>
          <w:u w:val="none"/>
          <w:shd w:val="clear" w:color="auto" w:fill="FFFFFF"/>
          <w14:textFill>
            <w14:solidFill>
              <w14:schemeClr w14:val="tx1"/>
            </w14:solidFill>
          </w14:textFill>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3840" w:firstLineChars="1200"/>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　山东省教育招生考试院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0" w:firstLineChars="1500"/>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2018年7月22日</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spacing w:line="460" w:lineRule="exac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附件1</w:t>
      </w:r>
    </w:p>
    <w:p>
      <w:pPr>
        <w:spacing w:afterLines="100" w:line="640" w:lineRule="exact"/>
        <w:jc w:val="center"/>
        <w:rPr>
          <w:rFonts w:hint="eastAsia" w:ascii="宋体" w:hAnsi="宋体" w:eastAsia="宋体" w:cs="宋体"/>
          <w:b/>
          <w:bCs/>
          <w:color w:val="000000" w:themeColor="text1"/>
          <w:spacing w:val="-20"/>
          <w:sz w:val="44"/>
          <w:szCs w:val="44"/>
          <w:shd w:val="clear" w:color="auto" w:fill="auto"/>
          <w14:textFill>
            <w14:solidFill>
              <w14:schemeClr w14:val="tx1"/>
            </w14:solidFill>
          </w14:textFill>
        </w:rPr>
      </w:pPr>
      <w:r>
        <w:rPr>
          <w:rFonts w:hint="eastAsia" w:ascii="宋体" w:hAnsi="宋体" w:eastAsia="宋体" w:cs="宋体"/>
          <w:b/>
          <w:bCs/>
          <w:color w:val="000000" w:themeColor="text1"/>
          <w:spacing w:val="-20"/>
          <w:kern w:val="0"/>
          <w:sz w:val="44"/>
          <w:szCs w:val="44"/>
          <w:shd w:val="clear" w:color="auto" w:fill="auto"/>
          <w14:textFill>
            <w14:solidFill>
              <w14:schemeClr w14:val="tx1"/>
            </w14:solidFill>
          </w14:textFill>
        </w:rPr>
        <w:t>山东省高等教育自学考试专业调整表（专科）</w:t>
      </w:r>
    </w:p>
    <w:tbl>
      <w:tblPr>
        <w:tblStyle w:val="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0"/>
        <w:gridCol w:w="1001"/>
        <w:gridCol w:w="2055"/>
        <w:gridCol w:w="1125"/>
        <w:gridCol w:w="214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序号</w:t>
            </w:r>
          </w:p>
        </w:tc>
        <w:tc>
          <w:tcPr>
            <w:tcW w:w="1001" w:type="dxa"/>
            <w:noWrap w:val="0"/>
            <w:vAlign w:val="center"/>
          </w:tcPr>
          <w:p>
            <w:pPr>
              <w:widowControl/>
              <w:spacing w:line="24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调整后专业代码</w:t>
            </w:r>
          </w:p>
        </w:tc>
        <w:tc>
          <w:tcPr>
            <w:tcW w:w="2055"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调整后专业名称</w:t>
            </w:r>
          </w:p>
        </w:tc>
        <w:tc>
          <w:tcPr>
            <w:tcW w:w="1125" w:type="dxa"/>
            <w:noWrap w:val="0"/>
            <w:vAlign w:val="center"/>
          </w:tcPr>
          <w:p>
            <w:pPr>
              <w:widowControl/>
              <w:spacing w:line="240" w:lineRule="exact"/>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原开考专业代码</w:t>
            </w:r>
          </w:p>
        </w:tc>
        <w:tc>
          <w:tcPr>
            <w:tcW w:w="2145"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原开考专业名称</w:t>
            </w:r>
          </w:p>
        </w:tc>
        <w:tc>
          <w:tcPr>
            <w:tcW w:w="1695"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主考院校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1</w:t>
            </w:r>
          </w:p>
        </w:tc>
        <w:tc>
          <w:tcPr>
            <w:tcW w:w="1001" w:type="dxa"/>
            <w:noWrap w:val="0"/>
            <w:vAlign w:val="center"/>
          </w:tcPr>
          <w:p>
            <w:pPr>
              <w:widowControl/>
              <w:jc w:val="center"/>
              <w:rPr>
                <w:rFonts w:ascii="仿宋_GB2312" w:hAnsi="等线" w:eastAsia="仿宋_GB2312"/>
                <w:color w:val="000000" w:themeColor="text1"/>
                <w:kern w:val="0"/>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540301</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建筑工程技术</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A080801</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房屋建筑工程</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山东建筑大学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2</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560102</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机械制造与自动化</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A080301</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机械制造及自动化</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3</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560301</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机电一体化技术</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A080306</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机电一体化工程</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4</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560302</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电气自动化技术</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A080602</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工业电气自动化技术</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5</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590106</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食品营养与卫生</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A081310</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营养、食品与健康</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6</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610201</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计算机应用技术</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A080701</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计算机及应用</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7</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610203</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计算机信息管理</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A082207</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计算机信息管理</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8</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620201</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护理</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A100701</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护理学</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9</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620301</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药学</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A100801</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药学</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10</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620302</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中药学</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C100803</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中药学</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11</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630201</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金融管理</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A020105</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金融</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12</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630302</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会计</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A020203</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会计</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13</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630501</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国际贸易实务</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A020109</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国际贸易</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烟台大学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vMerge w:val="restart"/>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14</w:t>
            </w:r>
          </w:p>
        </w:tc>
        <w:tc>
          <w:tcPr>
            <w:tcW w:w="1001"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630601</w:t>
            </w:r>
          </w:p>
        </w:tc>
        <w:tc>
          <w:tcPr>
            <w:tcW w:w="2055"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工商企业管理</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A020201</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工商企业管理</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vMerge w:val="continue"/>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p>
        </w:tc>
        <w:tc>
          <w:tcPr>
            <w:tcW w:w="1001"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2055"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A020258</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企业管理</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vMerge w:val="restart"/>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15</w:t>
            </w:r>
          </w:p>
        </w:tc>
        <w:tc>
          <w:tcPr>
            <w:tcW w:w="1001"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630701</w:t>
            </w:r>
          </w:p>
        </w:tc>
        <w:tc>
          <w:tcPr>
            <w:tcW w:w="2055"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市场营销</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A020207</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市场营销</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vMerge w:val="continue"/>
            <w:noWrap w:val="0"/>
            <w:vAlign w:val="center"/>
          </w:tcPr>
          <w:p>
            <w:pPr>
              <w:jc w:val="center"/>
              <w:textAlignment w:val="center"/>
              <w:rPr>
                <w:rFonts w:ascii="仿宋_GB2312" w:hAnsi="仿宋" w:eastAsia="仿宋_GB2312" w:cs="仿宋"/>
                <w:color w:val="000000" w:themeColor="text1"/>
                <w:szCs w:val="21"/>
                <w14:textFill>
                  <w14:solidFill>
                    <w14:schemeClr w14:val="tx1"/>
                  </w14:solidFill>
                </w14:textFill>
              </w:rPr>
            </w:pPr>
          </w:p>
        </w:tc>
        <w:tc>
          <w:tcPr>
            <w:tcW w:w="1001"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2055"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A020313</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销售管理</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13</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630903</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物流管理</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A020228</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物流管理</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17</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640105</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酒店管理</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A020211</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饭店管理</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18</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650102</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视觉传播设计与制作</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A050406</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视觉传达设计</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19</w:t>
            </w:r>
          </w:p>
        </w:tc>
        <w:tc>
          <w:tcPr>
            <w:tcW w:w="1001" w:type="dxa"/>
            <w:noWrap w:val="0"/>
            <w:vAlign w:val="center"/>
          </w:tcPr>
          <w:p>
            <w:pPr>
              <w:widowControl/>
              <w:jc w:val="center"/>
              <w:rPr>
                <w:rFonts w:ascii="仿宋_GB2312" w:hAnsi="等线" w:eastAsia="仿宋_GB2312"/>
                <w:color w:val="000000" w:themeColor="text1"/>
                <w:kern w:val="0"/>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650111</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环境艺术设计</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A050405</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室内设计</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20</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670102K</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学前教育</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A040101</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学前教育</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21</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670103K</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小学教育</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A040103</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小学教育</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22</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670206</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应用日语</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C050208</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日语</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23</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670208</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应用韩语</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C050211</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朝鲜语</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24</w:t>
            </w:r>
          </w:p>
        </w:tc>
        <w:tc>
          <w:tcPr>
            <w:tcW w:w="1001" w:type="dxa"/>
            <w:noWrap w:val="0"/>
            <w:vAlign w:val="center"/>
          </w:tcPr>
          <w:p>
            <w:pPr>
              <w:widowControl/>
              <w:jc w:val="center"/>
              <w:rPr>
                <w:rFonts w:ascii="仿宋_GB2312" w:hAnsi="等线" w:eastAsia="仿宋_GB2312"/>
                <w:color w:val="000000" w:themeColor="text1"/>
                <w:kern w:val="0"/>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670301</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文秘</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A050102</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秘书</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25</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680503</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法律事务</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C030102</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法律</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26</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690105</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公共关系</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A050303</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公共关系</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鲁东大学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27</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690206</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行政管理</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A030301</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行政管理</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28</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960101</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新闻学</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C050308</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新闻学</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29</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970201</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汉语言文学</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C050114</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汉语言文学</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30</w:t>
            </w:r>
          </w:p>
        </w:tc>
        <w:tc>
          <w:tcPr>
            <w:tcW w:w="1001"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970202</w:t>
            </w:r>
          </w:p>
        </w:tc>
        <w:tc>
          <w:tcPr>
            <w:tcW w:w="205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英语</w:t>
            </w:r>
          </w:p>
        </w:tc>
        <w:tc>
          <w:tcPr>
            <w:tcW w:w="112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C050207</w:t>
            </w:r>
          </w:p>
        </w:tc>
        <w:tc>
          <w:tcPr>
            <w:tcW w:w="21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英语</w:t>
            </w:r>
          </w:p>
        </w:tc>
        <w:tc>
          <w:tcPr>
            <w:tcW w:w="169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bl>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hint="eastAsia" w:ascii="黑体" w:hAnsi="黑体" w:eastAsia="黑体" w:cs="仿宋"/>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附件2</w:t>
      </w:r>
    </w:p>
    <w:p>
      <w:pPr>
        <w:spacing w:afterLines="50" w:line="460" w:lineRule="exact"/>
        <w:jc w:val="center"/>
        <w:rPr>
          <w:rFonts w:hint="eastAsia" w:ascii="宋体" w:hAnsi="宋体" w:eastAsia="宋体" w:cs="宋体"/>
          <w:b/>
          <w:bCs/>
          <w:color w:val="000000" w:themeColor="text1"/>
          <w:spacing w:val="-20"/>
          <w:sz w:val="44"/>
          <w:szCs w:val="44"/>
          <w14:textFill>
            <w14:solidFill>
              <w14:schemeClr w14:val="tx1"/>
            </w14:solidFill>
          </w14:textFill>
        </w:rPr>
      </w:pPr>
      <w:r>
        <w:rPr>
          <w:rFonts w:hint="eastAsia" w:ascii="宋体" w:hAnsi="宋体" w:eastAsia="宋体" w:cs="宋体"/>
          <w:b/>
          <w:bCs/>
          <w:color w:val="000000" w:themeColor="text1"/>
          <w:spacing w:val="-20"/>
          <w:kern w:val="0"/>
          <w:sz w:val="44"/>
          <w:szCs w:val="44"/>
          <w14:textFill>
            <w14:solidFill>
              <w14:schemeClr w14:val="tx1"/>
            </w14:solidFill>
          </w14:textFill>
        </w:rPr>
        <w:t>山东省高等教育自学考试专业调整表（本科）</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34"/>
        <w:gridCol w:w="1110"/>
        <w:gridCol w:w="2205"/>
        <w:gridCol w:w="1290"/>
        <w:gridCol w:w="219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blHeader/>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序号</w:t>
            </w:r>
          </w:p>
        </w:tc>
        <w:tc>
          <w:tcPr>
            <w:tcW w:w="111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调整后专业代码</w:t>
            </w:r>
          </w:p>
        </w:tc>
        <w:tc>
          <w:tcPr>
            <w:tcW w:w="2205"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调整后专业名称</w:t>
            </w:r>
          </w:p>
        </w:tc>
        <w:tc>
          <w:tcPr>
            <w:tcW w:w="1290" w:type="dxa"/>
            <w:noWrap w:val="0"/>
            <w:vAlign w:val="center"/>
          </w:tcPr>
          <w:p>
            <w:pPr>
              <w:widowControl/>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原开考专业</w:t>
            </w:r>
          </w:p>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代码</w:t>
            </w:r>
          </w:p>
        </w:tc>
        <w:tc>
          <w:tcPr>
            <w:tcW w:w="2190"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原开考专业名称</w:t>
            </w:r>
          </w:p>
        </w:tc>
        <w:tc>
          <w:tcPr>
            <w:tcW w:w="1845"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主考院校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w:t>
            </w:r>
          </w:p>
        </w:tc>
        <w:tc>
          <w:tcPr>
            <w:tcW w:w="1110" w:type="dxa"/>
            <w:noWrap w:val="0"/>
            <w:vAlign w:val="center"/>
          </w:tcPr>
          <w:p>
            <w:pPr>
              <w:widowControl/>
              <w:jc w:val="center"/>
              <w:rPr>
                <w:rFonts w:ascii="仿宋_GB2312" w:hAnsi="等线" w:eastAsia="仿宋_GB2312"/>
                <w:color w:val="000000" w:themeColor="text1"/>
                <w:kern w:val="0"/>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020202</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税收学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B020104</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财税</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020301K</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金融学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B020106</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金融</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3</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020401</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国际经济与贸易</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B020110</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国际贸易</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4</w:t>
            </w:r>
          </w:p>
        </w:tc>
        <w:tc>
          <w:tcPr>
            <w:tcW w:w="1110"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030101K</w:t>
            </w:r>
          </w:p>
        </w:tc>
        <w:tc>
          <w:tcPr>
            <w:tcW w:w="2205"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法学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C030106</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法律</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p>
        </w:tc>
        <w:tc>
          <w:tcPr>
            <w:tcW w:w="1110"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2205"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B030107</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经济法学</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5</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030302</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社会工作</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B030203</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社会工作与管理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6</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030612TK</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公安管理学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C030401</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公安管理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中国人民公安大学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7</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040101</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教育学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B040108</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教育学</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8</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040106</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学前教育</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B040102</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学前教育</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9</w:t>
            </w:r>
          </w:p>
        </w:tc>
        <w:tc>
          <w:tcPr>
            <w:tcW w:w="1110"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050101</w:t>
            </w:r>
          </w:p>
        </w:tc>
        <w:tc>
          <w:tcPr>
            <w:tcW w:w="2205"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汉语言文学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C050105</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汉语言文学</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p>
        </w:tc>
        <w:tc>
          <w:tcPr>
            <w:tcW w:w="1110"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2205"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B050113</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汉语言文学教育</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10</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050107T</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秘书学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B050104</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秘书学</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11</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050201</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英语</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C050201</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英语</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12</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050207</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日语</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C050202</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日语</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13</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050209</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朝鲜语</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C050223</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韩国语</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14</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050262</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商务英语</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C050218</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商务英语</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15</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050301</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新闻学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C050305</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新闻学</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16</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050303</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广告学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B050302</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广告学</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17</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080204</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机械电子工程</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B080307</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机电一体化工程</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18</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080702</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电子科学与技术</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B080705</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电子工程</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19</w:t>
            </w:r>
          </w:p>
        </w:tc>
        <w:tc>
          <w:tcPr>
            <w:tcW w:w="1110"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080901</w:t>
            </w:r>
          </w:p>
        </w:tc>
        <w:tc>
          <w:tcPr>
            <w:tcW w:w="2205"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计算机科学与技术</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B082208</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计算机信息管理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p>
        </w:tc>
        <w:tc>
          <w:tcPr>
            <w:tcW w:w="1110"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2205"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B080702</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计算机及应用</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20</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080903</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网络工程</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B080709</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计算机网络</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21</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081001</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土木工程</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B080806</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建筑工程</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22</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090401</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动物医学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B090403</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畜牧兽医</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23</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101101</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护理学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B100702</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护理学</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潍坊医学院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24</w:t>
            </w:r>
          </w:p>
        </w:tc>
        <w:tc>
          <w:tcPr>
            <w:tcW w:w="1110"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120103</w:t>
            </w:r>
          </w:p>
        </w:tc>
        <w:tc>
          <w:tcPr>
            <w:tcW w:w="2205"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工程管理</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B020279</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工程管理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p>
        </w:tc>
        <w:tc>
          <w:tcPr>
            <w:tcW w:w="1110"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2205"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B020256</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项目管理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25</w:t>
            </w:r>
          </w:p>
        </w:tc>
        <w:tc>
          <w:tcPr>
            <w:tcW w:w="1110"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120201K</w:t>
            </w:r>
          </w:p>
        </w:tc>
        <w:tc>
          <w:tcPr>
            <w:tcW w:w="2205"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工商管理</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B020202</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工商企业管理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p>
        </w:tc>
        <w:tc>
          <w:tcPr>
            <w:tcW w:w="1110"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2205"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B020259</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企业管理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26</w:t>
            </w:r>
          </w:p>
        </w:tc>
        <w:tc>
          <w:tcPr>
            <w:tcW w:w="1110"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120202</w:t>
            </w:r>
          </w:p>
        </w:tc>
        <w:tc>
          <w:tcPr>
            <w:tcW w:w="2205" w:type="dxa"/>
            <w:vMerge w:val="restart"/>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市场营销</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B020208</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市场营销</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p>
        </w:tc>
        <w:tc>
          <w:tcPr>
            <w:tcW w:w="1110"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2205" w:type="dxa"/>
            <w:vMerge w:val="continue"/>
            <w:noWrap w:val="0"/>
            <w:vAlign w:val="center"/>
          </w:tcPr>
          <w:p>
            <w:pPr>
              <w:jc w:val="center"/>
              <w:rPr>
                <w:rFonts w:ascii="仿宋_GB2312" w:hAnsi="等线" w:eastAsia="仿宋_GB2312" w:cs="宋体"/>
                <w:color w:val="000000" w:themeColor="text1"/>
                <w:szCs w:val="21"/>
                <w14:textFill>
                  <w14:solidFill>
                    <w14:schemeClr w14:val="tx1"/>
                  </w14:solidFill>
                </w14:textFill>
              </w:rPr>
            </w:pP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B020314</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销售管理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27</w:t>
            </w:r>
          </w:p>
        </w:tc>
        <w:tc>
          <w:tcPr>
            <w:tcW w:w="1110" w:type="dxa"/>
            <w:noWrap w:val="0"/>
            <w:vAlign w:val="center"/>
          </w:tcPr>
          <w:p>
            <w:pPr>
              <w:widowControl/>
              <w:jc w:val="center"/>
              <w:rPr>
                <w:rFonts w:ascii="仿宋_GB2312" w:hAnsi="等线" w:eastAsia="仿宋_GB2312"/>
                <w:color w:val="000000" w:themeColor="text1"/>
                <w:kern w:val="0"/>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120203K</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会计学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B020204</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会计</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28</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120206</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人力资源管理</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B020218</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人力资源管理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29</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120209</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物业管理</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B020222</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物业管理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30</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120210</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文化产业管理</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B020155</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文化产业</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szCs w:val="21"/>
                <w14:textFill>
                  <w14:solidFill>
                    <w14:schemeClr w14:val="tx1"/>
                  </w14:solidFill>
                </w14:textFill>
              </w:rPr>
            </w:pPr>
            <w:r>
              <w:rPr>
                <w:rFonts w:hint="eastAsia" w:ascii="仿宋_GB2312" w:hAnsi="仿宋" w:eastAsia="仿宋_GB2312" w:cs="仿宋"/>
                <w:color w:val="000000" w:themeColor="text1"/>
                <w:szCs w:val="21"/>
                <w14:textFill>
                  <w14:solidFill>
                    <w14:schemeClr w14:val="tx1"/>
                  </w14:solidFill>
                </w14:textFill>
              </w:rPr>
              <w:t>31</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120402</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行政管理</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B030302</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行政管理学</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32</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120601</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物流管理</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B020229</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物流管理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33</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120603T</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采购管理</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B020282</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采购与供应管理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34</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120801</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电子商务</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B020216</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电子商务</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35</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120901K</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旅游管理</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B020210</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旅游管理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36</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120903</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会展经济与管理</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B020180</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会展管理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34" w:type="dxa"/>
            <w:noWrap w:val="0"/>
            <w:vAlign w:val="center"/>
          </w:tcPr>
          <w:p>
            <w:pPr>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37</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130310</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动画</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B050438</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动画设计</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38</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130502</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视觉传达设计</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B050433</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视觉传达设计</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39</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130503</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环境设计</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B050432</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室内设计</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34" w:type="dxa"/>
            <w:noWrap w:val="0"/>
            <w:vAlign w:val="center"/>
          </w:tcPr>
          <w:p>
            <w:pPr>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40</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130508</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数字媒体艺术</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B050450</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电脑艺术设计</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齐鲁工业大学</w:t>
            </w:r>
          </w:p>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41</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340101</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教育管理</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B040107</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教育管理</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齐鲁师范学院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42</w:t>
            </w:r>
          </w:p>
        </w:tc>
        <w:tc>
          <w:tcPr>
            <w:tcW w:w="1110" w:type="dxa"/>
            <w:noWrap w:val="0"/>
            <w:vAlign w:val="center"/>
          </w:tcPr>
          <w:p>
            <w:pPr>
              <w:widowControl/>
              <w:jc w:val="center"/>
              <w:rPr>
                <w:rFonts w:ascii="仿宋_GB2312" w:hAnsi="等线" w:eastAsia="仿宋_GB2312"/>
                <w:color w:val="000000" w:themeColor="text1"/>
                <w:kern w:val="0"/>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340102</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心理健康教育</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B040110</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心理健康教育</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Cs w:val="21"/>
                <w14:textFill>
                  <w14:solidFill>
                    <w14:schemeClr w14:val="tx1"/>
                  </w14:solidFill>
                </w14:textFill>
              </w:rPr>
              <w:t>43</w:t>
            </w:r>
          </w:p>
        </w:tc>
        <w:tc>
          <w:tcPr>
            <w:tcW w:w="111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401101</w:t>
            </w:r>
          </w:p>
        </w:tc>
        <w:tc>
          <w:tcPr>
            <w:tcW w:w="220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社区护理学</w:t>
            </w:r>
          </w:p>
        </w:tc>
        <w:tc>
          <w:tcPr>
            <w:tcW w:w="12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B100705</w:t>
            </w:r>
          </w:p>
        </w:tc>
        <w:tc>
          <w:tcPr>
            <w:tcW w:w="2190"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社区护理学</w:t>
            </w:r>
          </w:p>
        </w:tc>
        <w:tc>
          <w:tcPr>
            <w:tcW w:w="1845" w:type="dxa"/>
            <w:noWrap w:val="0"/>
            <w:vAlign w:val="center"/>
          </w:tcPr>
          <w:p>
            <w:pPr>
              <w:jc w:val="center"/>
              <w:rPr>
                <w:rFonts w:ascii="仿宋_GB2312" w:hAnsi="等线" w:eastAsia="仿宋_GB2312"/>
                <w:color w:val="000000" w:themeColor="text1"/>
                <w:szCs w:val="21"/>
                <w14:textFill>
                  <w14:solidFill>
                    <w14:schemeClr w14:val="tx1"/>
                  </w14:solidFill>
                </w14:textFill>
              </w:rPr>
            </w:pPr>
            <w:r>
              <w:rPr>
                <w:rFonts w:hint="eastAsia" w:ascii="仿宋_GB2312" w:hAnsi="等线" w:eastAsia="仿宋_GB2312"/>
                <w:color w:val="000000" w:themeColor="text1"/>
                <w:szCs w:val="21"/>
                <w14:textFill>
                  <w14:solidFill>
                    <w14:schemeClr w14:val="tx1"/>
                  </w14:solidFill>
                </w14:textFill>
              </w:rPr>
              <w:t>山东大学</w:t>
            </w:r>
          </w:p>
        </w:tc>
      </w:tr>
    </w:tbl>
    <w:p>
      <w:pPr>
        <w:rPr>
          <w:color w:val="000000" w:themeColor="text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E8700"/>
    <w:multiLevelType w:val="singleLevel"/>
    <w:tmpl w:val="E18E870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27F39"/>
    <w:rsid w:val="3BF27F39"/>
    <w:rsid w:val="519F5F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2020-05-19T09:43:00Z</dcterms:created>
  <dc:creator>Administrator</dc:creator>
  <cp:lastModifiedBy>Administrator</cp:lastModifiedBy>
  <dcterms:modified xsi:type="dcterms:W3CDTF">2020-05-21T01:11:09Z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